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07C46" w14:textId="77777777" w:rsidR="00026FF9" w:rsidRDefault="00026FF9" w:rsidP="009C0058">
      <w:pPr>
        <w:pStyle w:val="JournalTitle"/>
        <w:spacing w:before="0" w:after="0" w:line="520" w:lineRule="exact"/>
        <w:rPr>
          <w:rFonts w:ascii="Montserrat" w:hAnsi="Montserrat" w:cs="Hind Siliguri"/>
          <w:sz w:val="48"/>
          <w:szCs w:val="48"/>
        </w:rPr>
      </w:pPr>
    </w:p>
    <w:p w14:paraId="4CD2703E" w14:textId="7A1BDE6A" w:rsidR="008A5BF9" w:rsidRPr="00026FF9" w:rsidRDefault="009C0058" w:rsidP="009C0058">
      <w:pPr>
        <w:pStyle w:val="JournalTitle"/>
        <w:spacing w:before="0" w:after="0" w:line="520" w:lineRule="exact"/>
        <w:rPr>
          <w:rFonts w:ascii="Montserrat" w:hAnsi="Montserrat" w:cs="Hind Siliguri"/>
          <w:sz w:val="48"/>
          <w:szCs w:val="48"/>
        </w:rPr>
      </w:pPr>
      <w:r w:rsidRPr="00026FF9">
        <w:rPr>
          <w:rFonts w:ascii="Montserrat" w:hAnsi="Montserrat" w:cs="Hind Siliguri"/>
          <w:sz w:val="48"/>
          <w:szCs w:val="48"/>
        </w:rPr>
        <w:t>The value recapture of complex urban transformation interventions: a rational procedure for the fair share of public and private benefits (</w:t>
      </w:r>
      <w:r w:rsidR="00026FF9">
        <w:rPr>
          <w:rFonts w:ascii="Montserrat" w:hAnsi="Montserrat" w:cs="Hind Siliguri"/>
          <w:sz w:val="48"/>
          <w:szCs w:val="48"/>
        </w:rPr>
        <w:t>Montserrat</w:t>
      </w:r>
      <w:r w:rsidRPr="00026FF9">
        <w:rPr>
          <w:rFonts w:ascii="Montserrat" w:hAnsi="Montserrat" w:cs="Hind Siliguri"/>
          <w:sz w:val="48"/>
          <w:szCs w:val="48"/>
        </w:rPr>
        <w:t>)</w:t>
      </w:r>
    </w:p>
    <w:p w14:paraId="1D11E5CF" w14:textId="77777777" w:rsidR="008A5BF9" w:rsidRPr="009C0058" w:rsidRDefault="008A5BF9" w:rsidP="00973EC1">
      <w:pPr>
        <w:pStyle w:val="JournalTitle"/>
        <w:spacing w:before="0" w:after="0"/>
        <w:rPr>
          <w:rFonts w:ascii="Catamaran" w:hAnsi="Catamaran" w:cs="Catamaran"/>
          <w:spacing w:val="0"/>
          <w:sz w:val="18"/>
          <w:szCs w:val="28"/>
        </w:rPr>
      </w:pPr>
    </w:p>
    <w:p w14:paraId="77E4B9C3" w14:textId="0727F33E" w:rsidR="009C0058" w:rsidRDefault="009C0058" w:rsidP="00973EC1">
      <w:pPr>
        <w:pStyle w:val="JournalTitle"/>
        <w:spacing w:before="0" w:after="0"/>
        <w:rPr>
          <w:rFonts w:ascii="Oxygen" w:hAnsi="Oxygen" w:cs="Catamaran"/>
          <w:spacing w:val="0"/>
          <w:sz w:val="22"/>
          <w:szCs w:val="40"/>
          <w:lang w:val="it-IT"/>
        </w:rPr>
      </w:pPr>
      <w:r w:rsidRPr="00026FF9">
        <w:rPr>
          <w:rFonts w:ascii="Oxygen" w:hAnsi="Oxygen" w:cs="Catamaran"/>
          <w:spacing w:val="0"/>
          <w:sz w:val="22"/>
          <w:szCs w:val="40"/>
          <w:lang w:val="it-IT"/>
        </w:rPr>
        <w:t>Pierluigi Morano</w:t>
      </w:r>
      <w:r w:rsidRPr="00026FF9">
        <w:rPr>
          <w:rFonts w:ascii="Oxygen" w:hAnsi="Oxygen" w:cs="Catamaran"/>
          <w:spacing w:val="0"/>
          <w:sz w:val="22"/>
          <w:szCs w:val="40"/>
          <w:vertAlign w:val="superscript"/>
          <w:lang w:val="it-IT"/>
        </w:rPr>
        <w:t>1</w:t>
      </w:r>
      <w:r w:rsidRPr="00026FF9">
        <w:rPr>
          <w:rFonts w:ascii="Oxygen" w:hAnsi="Oxygen" w:cs="Catamaran"/>
          <w:spacing w:val="0"/>
          <w:sz w:val="22"/>
          <w:szCs w:val="40"/>
          <w:lang w:val="it-IT"/>
        </w:rPr>
        <w:t>, Francesco Tajani</w:t>
      </w:r>
      <w:r w:rsidRPr="00026FF9">
        <w:rPr>
          <w:rFonts w:ascii="Oxygen" w:hAnsi="Oxygen" w:cs="Catamaran"/>
          <w:spacing w:val="0"/>
          <w:sz w:val="22"/>
          <w:szCs w:val="40"/>
          <w:vertAlign w:val="superscript"/>
          <w:lang w:val="it-IT"/>
        </w:rPr>
        <w:t>2</w:t>
      </w:r>
      <w:r w:rsidRPr="00026FF9">
        <w:rPr>
          <w:rFonts w:ascii="Oxygen" w:hAnsi="Oxygen" w:cs="Catamaran"/>
          <w:spacing w:val="0"/>
          <w:sz w:val="22"/>
          <w:szCs w:val="40"/>
          <w:lang w:val="it-IT"/>
        </w:rPr>
        <w:t>, Debora Anelli</w:t>
      </w:r>
      <w:r w:rsidRPr="00026FF9">
        <w:rPr>
          <w:rFonts w:ascii="Oxygen" w:hAnsi="Oxygen" w:cs="Catamaran"/>
          <w:spacing w:val="0"/>
          <w:sz w:val="22"/>
          <w:szCs w:val="40"/>
          <w:vertAlign w:val="superscript"/>
          <w:lang w:val="it-IT"/>
        </w:rPr>
        <w:t>1</w:t>
      </w:r>
      <w:r w:rsidR="00FB03BE">
        <w:rPr>
          <w:rFonts w:ascii="Oxygen" w:hAnsi="Oxygen" w:cs="Catamaran"/>
          <w:spacing w:val="0"/>
          <w:sz w:val="22"/>
          <w:szCs w:val="40"/>
          <w:vertAlign w:val="superscript"/>
          <w:lang w:val="it-IT"/>
        </w:rPr>
        <w:t>,</w:t>
      </w:r>
      <w:r w:rsidRPr="00026FF9">
        <w:rPr>
          <w:rFonts w:ascii="Oxygen" w:hAnsi="Oxygen" w:cs="Catamaran"/>
          <w:spacing w:val="0"/>
          <w:sz w:val="22"/>
          <w:szCs w:val="40"/>
          <w:vertAlign w:val="superscript"/>
          <w:lang w:val="it-IT"/>
        </w:rPr>
        <w:t>*</w:t>
      </w:r>
      <w:r w:rsidRPr="00026FF9">
        <w:rPr>
          <w:rFonts w:ascii="Oxygen" w:hAnsi="Oxygen" w:cs="Catamaran"/>
          <w:spacing w:val="0"/>
          <w:sz w:val="22"/>
          <w:szCs w:val="40"/>
          <w:lang w:val="it-IT"/>
        </w:rPr>
        <w:t xml:space="preserve"> (</w:t>
      </w:r>
      <w:proofErr w:type="spellStart"/>
      <w:r w:rsidR="00026FF9">
        <w:rPr>
          <w:rFonts w:ascii="Oxygen" w:hAnsi="Oxygen" w:cs="Catamaran"/>
          <w:spacing w:val="0"/>
          <w:sz w:val="22"/>
          <w:szCs w:val="40"/>
          <w:lang w:val="it-IT"/>
        </w:rPr>
        <w:t>Oxygen</w:t>
      </w:r>
      <w:proofErr w:type="spellEnd"/>
      <w:r w:rsidRPr="00026FF9">
        <w:rPr>
          <w:rFonts w:ascii="Oxygen" w:hAnsi="Oxygen" w:cs="Catamaran"/>
          <w:spacing w:val="0"/>
          <w:sz w:val="22"/>
          <w:szCs w:val="40"/>
          <w:lang w:val="it-IT"/>
        </w:rPr>
        <w:t>)</w:t>
      </w:r>
    </w:p>
    <w:p w14:paraId="69ECFA8E" w14:textId="77777777" w:rsidR="00026FF9" w:rsidRPr="00026FF9" w:rsidRDefault="00026FF9" w:rsidP="00973EC1">
      <w:pPr>
        <w:pStyle w:val="JournalTitle"/>
        <w:spacing w:before="0" w:after="0"/>
        <w:rPr>
          <w:rFonts w:ascii="Oxygen" w:hAnsi="Oxygen" w:cs="Catamaran"/>
          <w:spacing w:val="0"/>
          <w:sz w:val="22"/>
          <w:szCs w:val="40"/>
          <w:lang w:val="it-IT"/>
        </w:rPr>
      </w:pPr>
    </w:p>
    <w:p w14:paraId="1CB7631B" w14:textId="093A9518" w:rsidR="009C0058" w:rsidRPr="00026FF9" w:rsidRDefault="009C0058" w:rsidP="00973EC1">
      <w:pPr>
        <w:pStyle w:val="JournalTitle"/>
        <w:spacing w:before="0" w:after="0"/>
        <w:rPr>
          <w:rFonts w:ascii="Oxygen" w:hAnsi="Oxygen" w:cs="Catamaran"/>
          <w:spacing w:val="0"/>
          <w:sz w:val="18"/>
          <w:szCs w:val="28"/>
        </w:rPr>
      </w:pPr>
      <w:r w:rsidRPr="00026FF9">
        <w:rPr>
          <w:rFonts w:ascii="Oxygen" w:hAnsi="Oxygen" w:cs="Catamaran"/>
          <w:spacing w:val="0"/>
          <w:sz w:val="18"/>
          <w:szCs w:val="28"/>
          <w:vertAlign w:val="superscript"/>
        </w:rPr>
        <w:t xml:space="preserve">1 </w:t>
      </w:r>
      <w:r w:rsidRPr="00026FF9">
        <w:rPr>
          <w:rFonts w:ascii="Oxygen" w:hAnsi="Oxygen" w:cs="Catamaran"/>
          <w:spacing w:val="0"/>
          <w:sz w:val="18"/>
          <w:szCs w:val="28"/>
        </w:rPr>
        <w:t xml:space="preserve">Department of Civil, Environmental, Land, Building Engineering and Chemistry, Polytechnic University of Bari, Via </w:t>
      </w:r>
      <w:proofErr w:type="spellStart"/>
      <w:r w:rsidRPr="00026FF9">
        <w:rPr>
          <w:rFonts w:ascii="Oxygen" w:hAnsi="Oxygen" w:cs="Catamaran"/>
          <w:spacing w:val="0"/>
          <w:sz w:val="18"/>
          <w:szCs w:val="28"/>
        </w:rPr>
        <w:t>Orabona</w:t>
      </w:r>
      <w:proofErr w:type="spellEnd"/>
      <w:r w:rsidRPr="00026FF9">
        <w:rPr>
          <w:rFonts w:ascii="Oxygen" w:hAnsi="Oxygen" w:cs="Catamaran"/>
          <w:spacing w:val="0"/>
          <w:sz w:val="18"/>
          <w:szCs w:val="28"/>
        </w:rPr>
        <w:t xml:space="preserve"> 4, 70125 Bari, Italy; </w:t>
      </w:r>
      <w:hyperlink r:id="rId8" w:history="1">
        <w:r w:rsidRPr="00D7194D">
          <w:rPr>
            <w:rStyle w:val="Hyperlink"/>
            <w:rFonts w:ascii="Oxygen" w:hAnsi="Oxygen" w:cs="Catamaran"/>
            <w:color w:val="000000" w:themeColor="text1"/>
            <w:spacing w:val="0"/>
            <w:sz w:val="18"/>
            <w:szCs w:val="28"/>
            <w:u w:val="none"/>
          </w:rPr>
          <w:t>pierluigi.morano@poliba.it</w:t>
        </w:r>
      </w:hyperlink>
      <w:r w:rsidRPr="00D7194D">
        <w:rPr>
          <w:rFonts w:ascii="Oxygen" w:hAnsi="Oxygen" w:cs="Catamaran"/>
          <w:color w:val="000000" w:themeColor="text1"/>
          <w:spacing w:val="0"/>
          <w:sz w:val="18"/>
          <w:szCs w:val="28"/>
        </w:rPr>
        <w:t>;</w:t>
      </w:r>
      <w:r w:rsidRPr="00FB03BE">
        <w:rPr>
          <w:rFonts w:ascii="Oxygen" w:hAnsi="Oxygen" w:cs="Catamaran"/>
          <w:color w:val="000000" w:themeColor="text1"/>
          <w:spacing w:val="0"/>
          <w:sz w:val="18"/>
          <w:szCs w:val="28"/>
        </w:rPr>
        <w:t xml:space="preserve"> </w:t>
      </w:r>
      <w:r w:rsidR="00FB03BE">
        <w:rPr>
          <w:rFonts w:ascii="Oxygen" w:hAnsi="Oxygen" w:cs="Catamaran"/>
          <w:spacing w:val="0"/>
          <w:sz w:val="18"/>
          <w:szCs w:val="28"/>
        </w:rPr>
        <w:t>d</w:t>
      </w:r>
      <w:r w:rsidRPr="00026FF9">
        <w:rPr>
          <w:rFonts w:ascii="Oxygen" w:hAnsi="Oxygen" w:cs="Catamaran"/>
          <w:spacing w:val="0"/>
          <w:sz w:val="18"/>
          <w:szCs w:val="28"/>
        </w:rPr>
        <w:t>ebora.anelli@poliba.it</w:t>
      </w:r>
    </w:p>
    <w:p w14:paraId="4261C0A0" w14:textId="277679B6" w:rsidR="009C0058" w:rsidRDefault="009C0058" w:rsidP="00973EC1">
      <w:pPr>
        <w:pStyle w:val="JournalTitle"/>
        <w:spacing w:before="0" w:after="0"/>
        <w:rPr>
          <w:rFonts w:ascii="Oxygen" w:hAnsi="Oxygen" w:cs="Catamaran"/>
          <w:spacing w:val="0"/>
          <w:sz w:val="18"/>
          <w:szCs w:val="28"/>
        </w:rPr>
      </w:pPr>
      <w:r w:rsidRPr="00026FF9">
        <w:rPr>
          <w:rFonts w:ascii="Oxygen" w:hAnsi="Oxygen" w:cs="Catamaran"/>
          <w:spacing w:val="0"/>
          <w:sz w:val="18"/>
          <w:szCs w:val="28"/>
          <w:vertAlign w:val="superscript"/>
        </w:rPr>
        <w:t xml:space="preserve">2 </w:t>
      </w:r>
      <w:r w:rsidRPr="00026FF9">
        <w:rPr>
          <w:rFonts w:ascii="Oxygen" w:hAnsi="Oxygen" w:cs="Catamaran"/>
          <w:spacing w:val="0"/>
          <w:sz w:val="18"/>
          <w:szCs w:val="28"/>
        </w:rPr>
        <w:t>Department of Architecture and Design, Sapienza University of Rome, Via Flaminia 359, 00196 Rome, Italy</w:t>
      </w:r>
      <w:r w:rsidR="00973EC1" w:rsidRPr="00026FF9">
        <w:rPr>
          <w:rFonts w:ascii="Oxygen" w:hAnsi="Oxygen" w:cs="Catamaran"/>
          <w:spacing w:val="0"/>
          <w:sz w:val="18"/>
          <w:szCs w:val="28"/>
        </w:rPr>
        <w:t>;</w:t>
      </w:r>
      <w:r w:rsidRPr="00026FF9">
        <w:rPr>
          <w:rFonts w:ascii="Oxygen" w:hAnsi="Oxygen" w:cs="Catamaran"/>
          <w:spacing w:val="0"/>
          <w:sz w:val="18"/>
          <w:szCs w:val="28"/>
        </w:rPr>
        <w:t xml:space="preserve"> francesco.tajani@uniroma1.it </w:t>
      </w:r>
    </w:p>
    <w:p w14:paraId="7FE0225F" w14:textId="2E5515A5" w:rsidR="00FB03BE" w:rsidRPr="00026FF9" w:rsidRDefault="00FB03BE" w:rsidP="00FB03BE">
      <w:pPr>
        <w:pStyle w:val="JournalTitle"/>
        <w:spacing w:before="0" w:after="0"/>
        <w:rPr>
          <w:rFonts w:ascii="Oxygen" w:hAnsi="Oxygen" w:cs="Catamaran"/>
          <w:spacing w:val="0"/>
          <w:sz w:val="18"/>
          <w:szCs w:val="28"/>
        </w:rPr>
      </w:pPr>
      <w:r w:rsidRPr="00FB03BE">
        <w:rPr>
          <w:rFonts w:ascii="Oxygen" w:hAnsi="Oxygen" w:cs="Catamaran"/>
          <w:spacing w:val="0"/>
          <w:sz w:val="18"/>
          <w:szCs w:val="28"/>
        </w:rPr>
        <w:t>*</w:t>
      </w:r>
      <w:r>
        <w:rPr>
          <w:rFonts w:ascii="Oxygen" w:hAnsi="Oxygen" w:cs="Catamaran"/>
          <w:spacing w:val="0"/>
          <w:sz w:val="18"/>
          <w:szCs w:val="28"/>
        </w:rPr>
        <w:t xml:space="preserve"> corresponding author</w:t>
      </w:r>
    </w:p>
    <w:p w14:paraId="70CB6F37" w14:textId="7CBEEF9F" w:rsidR="003C178E" w:rsidRPr="009C0058" w:rsidRDefault="003C178E" w:rsidP="005F41AD">
      <w:pPr>
        <w:pStyle w:val="JournalTitle"/>
        <w:spacing w:before="0" w:after="0"/>
        <w:rPr>
          <w:rFonts w:ascii="Catamaran" w:hAnsi="Catamaran" w:cs="Catamaran"/>
          <w:spacing w:val="0"/>
          <w:sz w:val="1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537"/>
        <w:gridCol w:w="7323"/>
      </w:tblGrid>
      <w:tr w:rsidR="00026FF9" w:rsidRPr="005F41AD" w14:paraId="6753976D" w14:textId="77777777" w:rsidTr="009C2DAA">
        <w:trPr>
          <w:trHeight w:val="5580"/>
        </w:trPr>
        <w:tc>
          <w:tcPr>
            <w:tcW w:w="2537" w:type="dxa"/>
          </w:tcPr>
          <w:p w14:paraId="3C3E3F29" w14:textId="77777777" w:rsidR="00026FF9" w:rsidRPr="005F41AD" w:rsidRDefault="00026FF9" w:rsidP="00026FF9">
            <w:pPr>
              <w:rPr>
                <w:rFonts w:ascii="Oxygen" w:hAnsi="Oxygen" w:cs="Catamaran"/>
                <w:b/>
                <w:bCs/>
                <w:sz w:val="20"/>
                <w:szCs w:val="20"/>
                <w:lang w:val="en-US"/>
              </w:rPr>
            </w:pPr>
            <w:r w:rsidRPr="005F41AD">
              <w:rPr>
                <w:rFonts w:ascii="Oxygen" w:hAnsi="Oxygen" w:cs="Catamaran"/>
                <w:b/>
                <w:bCs/>
                <w:sz w:val="20"/>
                <w:szCs w:val="20"/>
                <w:lang w:val="en-US"/>
              </w:rPr>
              <w:t>Keywords</w:t>
            </w:r>
          </w:p>
          <w:p w14:paraId="1F5DED4F" w14:textId="4B37CC0B" w:rsidR="00026FF9" w:rsidRPr="005F41AD" w:rsidRDefault="00026FF9" w:rsidP="00026FF9">
            <w:pPr>
              <w:rPr>
                <w:rFonts w:ascii="Catamaran" w:hAnsi="Catamaran" w:cs="Catamaran"/>
                <w:sz w:val="20"/>
                <w:szCs w:val="20"/>
                <w:lang w:val="en-US"/>
              </w:rPr>
            </w:pPr>
            <w:r w:rsidRPr="005F41AD">
              <w:rPr>
                <w:rFonts w:ascii="Oxygen" w:hAnsi="Oxygen" w:cs="Catamaran"/>
                <w:sz w:val="20"/>
                <w:szCs w:val="20"/>
                <w:lang w:val="en-US"/>
              </w:rPr>
              <w:t>value recapture, optimization model, urban transformation feasibility, extraordinary urbanization contribution, public-private partnership, risk, discount rate</w:t>
            </w:r>
          </w:p>
        </w:tc>
        <w:tc>
          <w:tcPr>
            <w:tcW w:w="7323" w:type="dxa"/>
            <w:shd w:val="clear" w:color="auto" w:fill="C2E3D6"/>
          </w:tcPr>
          <w:p w14:paraId="1BA135FB" w14:textId="3AFF5628" w:rsidR="00026FF9" w:rsidRPr="009C2DAA" w:rsidRDefault="00026FF9" w:rsidP="003C178E">
            <w:pPr>
              <w:jc w:val="both"/>
              <w:rPr>
                <w:rFonts w:ascii="Oxygen" w:hAnsi="Oxygen" w:cs="Catamaran"/>
                <w:b/>
                <w:bCs/>
                <w:sz w:val="20"/>
                <w:szCs w:val="20"/>
                <w:lang w:val="en-US"/>
                <w14:shadow w14:blurRad="50800" w14:dist="50800" w14:dir="5400000" w14:sx="0" w14:sy="0" w14:kx="0" w14:ky="0" w14:algn="ctr">
                  <w14:srgbClr w14:val="000000"/>
                </w14:shadow>
              </w:rPr>
            </w:pPr>
            <w:r w:rsidRPr="009C2DAA">
              <w:rPr>
                <w:rFonts w:ascii="Oxygen" w:hAnsi="Oxygen" w:cs="Catamaran"/>
                <w:b/>
                <w:bCs/>
                <w:sz w:val="20"/>
                <w:szCs w:val="20"/>
                <w:lang w:val="en-US"/>
                <w14:shadow w14:blurRad="50800" w14:dist="50800" w14:dir="5400000" w14:sx="0" w14:sy="0" w14:kx="0" w14:ky="0" w14:algn="ctr">
                  <w14:srgbClr w14:val="000000"/>
                </w14:shadow>
              </w:rPr>
              <w:t>Abstract  (oxygen)</w:t>
            </w:r>
          </w:p>
          <w:p w14:paraId="4C13A89C" w14:textId="77777777" w:rsidR="009C2DAA" w:rsidRPr="009C2DAA" w:rsidRDefault="009C2DAA" w:rsidP="009C2DAA">
            <w:pPr>
              <w:jc w:val="both"/>
              <w:rPr>
                <w:rFonts w:ascii="Oxygen Light" w:hAnsi="Oxygen Light" w:cs="Catamaran"/>
                <w:sz w:val="20"/>
                <w:szCs w:val="20"/>
                <w:lang w:val="en-US"/>
                <w14:shadow w14:blurRad="50800" w14:dist="50800" w14:dir="5400000" w14:sx="0" w14:sy="0" w14:kx="0" w14:ky="0" w14:algn="ctr">
                  <w14:srgbClr w14:val="000000"/>
                </w14:shadow>
              </w:rPr>
            </w:pPr>
            <w:r w:rsidRPr="009C2DAA">
              <w:rPr>
                <w:rFonts w:ascii="Oxygen Light" w:hAnsi="Oxygen Light" w:cs="Catamaran"/>
                <w:sz w:val="20"/>
                <w:szCs w:val="20"/>
                <w:lang w:val="en-US"/>
                <w14:shadow w14:blurRad="50800" w14:dist="50800" w14:dir="5400000" w14:sx="0" w14:sy="0" w14:kx="0" w14:ky="0" w14:algn="ctr">
                  <w14:srgbClr w14:val="000000"/>
                </w14:shadow>
              </w:rPr>
              <w:t xml:space="preserve">The benefits generated by the urban transformation interventions can often favour the private property owners or developers by increasing their gains (effective or potential) and therefore reducing the acquirable resources for the public city’s construction. However, due to the requirements of achieving the sustainable development targets established by the 2030 Agenda the process of the construction of the public city should appropriately address the implementation of value recapture’s principles in the assessment of the benefits generated by complex urban transformation interventions. For these reasons, tools like the Extraordinary Urbanization Contribution (EUC) </w:t>
            </w:r>
            <w:r w:rsidRPr="009C2DAA">
              <w:rPr>
                <w:rFonts w:ascii="Oxygen" w:hAnsi="Oxygen" w:cs="Oxygen"/>
                <w:sz w:val="20"/>
                <w:szCs w:val="20"/>
                <w:lang w:val="en-US"/>
                <w14:shadow w14:blurRad="50800" w14:dist="50800" w14:dir="5400000" w14:sx="0" w14:sy="0" w14:kx="0" w14:ky="0" w14:algn="ctr">
                  <w14:srgbClr w14:val="000000"/>
                </w14:shadow>
              </w:rPr>
              <w:t>–</w:t>
            </w:r>
            <w:r w:rsidRPr="009C2DAA">
              <w:rPr>
                <w:rFonts w:ascii="Oxygen Light" w:hAnsi="Oxygen Light" w:cs="Catamaran"/>
                <w:sz w:val="20"/>
                <w:szCs w:val="20"/>
                <w:lang w:val="en-US"/>
                <w14:shadow w14:blurRad="50800" w14:dist="50800" w14:dir="5400000" w14:sx="0" w14:sy="0" w14:kx="0" w14:ky="0" w14:algn="ctr">
                  <w14:srgbClr w14:val="000000"/>
                </w14:shadow>
              </w:rPr>
              <w:t xml:space="preserve"> established in 2014 with the art.16, co.4 of the Italian Presidential Decree no.380/2001 </w:t>
            </w:r>
            <w:r w:rsidRPr="009C2DAA">
              <w:rPr>
                <w:rFonts w:ascii="Oxygen" w:hAnsi="Oxygen" w:cs="Oxygen"/>
                <w:sz w:val="20"/>
                <w:szCs w:val="20"/>
                <w:lang w:val="en-US"/>
                <w14:shadow w14:blurRad="50800" w14:dist="50800" w14:dir="5400000" w14:sx="0" w14:sy="0" w14:kx="0" w14:ky="0" w14:algn="ctr">
                  <w14:srgbClr w14:val="000000"/>
                </w14:shadow>
              </w:rPr>
              <w:t>–</w:t>
            </w:r>
            <w:r w:rsidRPr="009C2DAA">
              <w:rPr>
                <w:rFonts w:ascii="Oxygen Light" w:hAnsi="Oxygen Light" w:cs="Catamaran"/>
                <w:sz w:val="20"/>
                <w:szCs w:val="20"/>
                <w:lang w:val="en-US"/>
                <w14:shadow w14:blurRad="50800" w14:dist="50800" w14:dir="5400000" w14:sx="0" w14:sy="0" w14:kx="0" w14:ky="0" w14:algn="ctr">
                  <w14:srgbClr w14:val="000000"/>
                </w14:shadow>
              </w:rPr>
              <w:t xml:space="preserve"> have recently gained renewed importance. Aim of the work is to provide</w:t>
            </w:r>
          </w:p>
          <w:p w14:paraId="7165BEBF" w14:textId="29384D61" w:rsidR="00026FF9" w:rsidRPr="009C2DAA" w:rsidRDefault="009C2DAA" w:rsidP="009C2DAA">
            <w:pPr>
              <w:jc w:val="both"/>
              <w:rPr>
                <w:rFonts w:ascii="Oxygen" w:hAnsi="Oxygen" w:cs="Catamaran"/>
                <w:b/>
                <w:bCs/>
                <w:sz w:val="20"/>
                <w:szCs w:val="20"/>
                <w:lang w:val="en-US"/>
                <w14:shadow w14:blurRad="50800" w14:dist="50800" w14:dir="5400000" w14:sx="0" w14:sy="0" w14:kx="0" w14:ky="0" w14:algn="ctr">
                  <w14:srgbClr w14:val="000000"/>
                </w14:shadow>
              </w:rPr>
            </w:pPr>
            <w:r w:rsidRPr="009C2DAA">
              <w:rPr>
                <w:rFonts w:ascii="Oxygen Light" w:hAnsi="Oxygen Light" w:cs="Catamaran"/>
                <w:sz w:val="20"/>
                <w:szCs w:val="20"/>
                <w:lang w:val="en-US"/>
                <w14:shadow w14:blurRad="50800" w14:dist="50800" w14:dir="5400000" w14:sx="0" w14:sy="0" w14:kx="0" w14:ky="0" w14:algn="ctr">
                  <w14:srgbClr w14:val="000000"/>
                </w14:shadow>
              </w:rPr>
              <w:t>a decision support model for the assessment of the plusvalue generated by complex urban variant intervention, in order to detect the effects that the discount rate used for representing the time and the risk in the application of the Discounted Cash Flow Analysis (DCFA) for determining the transformation value, can have on the feasibility of the intervention and, consequently, on the public and private benefits. The implementation of a rational procedure based on the application of the mathematical optimization’s principles to a case study in the city of Bari (Italy), allows to highlight how the discount rate may significantly change the urban parameters from which the feasibility of the urban variant depends and the fair share of the public and private benefits.</w:t>
            </w:r>
          </w:p>
        </w:tc>
      </w:tr>
    </w:tbl>
    <w:p w14:paraId="673F2267" w14:textId="77777777" w:rsidR="00026FF9" w:rsidRDefault="00026FF9" w:rsidP="00026FF9">
      <w:pPr>
        <w:jc w:val="both"/>
      </w:pPr>
    </w:p>
    <w:p w14:paraId="5124D935" w14:textId="2D1D8161" w:rsidR="003C178E" w:rsidRPr="001B67E6" w:rsidRDefault="003C178E" w:rsidP="00E04335">
      <w:pPr>
        <w:spacing w:after="240"/>
        <w:jc w:val="both"/>
        <w:rPr>
          <w:rFonts w:ascii="Karma" w:hAnsi="Karma" w:cs="Karma"/>
          <w:b/>
          <w:bCs/>
          <w:lang w:val="en-US"/>
        </w:rPr>
      </w:pPr>
      <w:r w:rsidRPr="001B67E6">
        <w:rPr>
          <w:rFonts w:ascii="Karma" w:hAnsi="Karma" w:cs="Karma"/>
          <w:b/>
          <w:bCs/>
          <w:lang w:val="en-US"/>
        </w:rPr>
        <w:t>1.  Introduction (</w:t>
      </w:r>
      <w:r w:rsidR="00D501C1" w:rsidRPr="001B67E6">
        <w:rPr>
          <w:rFonts w:ascii="Karma" w:hAnsi="Karma" w:cs="Karma"/>
          <w:b/>
          <w:bCs/>
          <w:lang w:val="en-US"/>
        </w:rPr>
        <w:t>Karma</w:t>
      </w:r>
      <w:r w:rsidRPr="001B67E6">
        <w:rPr>
          <w:rFonts w:ascii="Karma" w:hAnsi="Karma" w:cs="Karma"/>
          <w:b/>
          <w:bCs/>
          <w:lang w:val="en-US"/>
        </w:rPr>
        <w:t>)</w:t>
      </w:r>
    </w:p>
    <w:p w14:paraId="6E171F24" w14:textId="77AB609B" w:rsidR="008A5BF9" w:rsidRDefault="00026FF9" w:rsidP="00026FF9">
      <w:pPr>
        <w:jc w:val="both"/>
        <w:rPr>
          <w:rFonts w:ascii="Karma" w:hAnsi="Karma" w:cs="Karma"/>
          <w:sz w:val="21"/>
          <w:szCs w:val="21"/>
          <w:lang w:val="en-US"/>
        </w:rPr>
      </w:pPr>
      <w:r w:rsidRPr="00026FF9">
        <w:rPr>
          <w:rFonts w:ascii="Karma" w:hAnsi="Karma" w:cs="Karma"/>
          <w:sz w:val="21"/>
          <w:szCs w:val="21"/>
          <w:lang w:val="en-US"/>
        </w:rPr>
        <w:t xml:space="preserve">In many countries, the debate on the feasibility and effectiveness of the tools aimed at the fair and shared recapture of the </w:t>
      </w:r>
      <w:proofErr w:type="spellStart"/>
      <w:r w:rsidRPr="00026FF9">
        <w:rPr>
          <w:rFonts w:ascii="Karma" w:hAnsi="Karma" w:cs="Karma"/>
          <w:sz w:val="21"/>
          <w:szCs w:val="21"/>
          <w:lang w:val="en-US"/>
        </w:rPr>
        <w:t>plusvalue</w:t>
      </w:r>
      <w:proofErr w:type="spellEnd"/>
      <w:r w:rsidRPr="00026FF9">
        <w:rPr>
          <w:rFonts w:ascii="Karma" w:hAnsi="Karma" w:cs="Karma"/>
          <w:sz w:val="21"/>
          <w:szCs w:val="21"/>
          <w:lang w:val="en-US"/>
        </w:rPr>
        <w:t xml:space="preserve"> deriving from urban regeneration interventions is part of a context characterized by a new era for the construction of the public city. In fact, following the considerable reduction in the availability of financial resources triggered by the economic crisis of 2007, and recently exacerbated by the spread of the Covid-19 and the effects of the unstable geo-political context, the governmental subjects have suddenly lost much of their spending power, especially for the urban planning processes. However, </w:t>
      </w:r>
      <w:r w:rsidR="0023517D">
        <w:rPr>
          <w:rFonts w:ascii="Karma" w:hAnsi="Karma" w:cs="Karma"/>
          <w:sz w:val="21"/>
          <w:szCs w:val="21"/>
          <w:lang w:val="en-US"/>
        </w:rPr>
        <w:t xml:space="preserve">(Figure 1) </w:t>
      </w:r>
      <w:r w:rsidRPr="00026FF9">
        <w:rPr>
          <w:rFonts w:ascii="Karma" w:hAnsi="Karma" w:cs="Karma"/>
          <w:sz w:val="21"/>
          <w:szCs w:val="21"/>
          <w:lang w:val="en-US"/>
        </w:rPr>
        <w:t xml:space="preserve">with the establishment of the New Urban Agenda (NUA) and the Sustainable Development Goals (SDGs) defined in the 2030 Agenda in 2015 (United Nation, 2016; UN-Habitat, 2016; </w:t>
      </w:r>
      <w:proofErr w:type="spellStart"/>
      <w:r w:rsidRPr="00026FF9">
        <w:rPr>
          <w:rFonts w:ascii="Karma" w:hAnsi="Karma" w:cs="Karma"/>
          <w:sz w:val="21"/>
          <w:szCs w:val="21"/>
          <w:lang w:val="en-US"/>
        </w:rPr>
        <w:t>Morano</w:t>
      </w:r>
      <w:proofErr w:type="spellEnd"/>
      <w:r w:rsidRPr="00026FF9">
        <w:rPr>
          <w:rFonts w:ascii="Karma" w:hAnsi="Karma" w:cs="Karma"/>
          <w:sz w:val="21"/>
          <w:szCs w:val="21"/>
          <w:lang w:val="en-US"/>
        </w:rPr>
        <w:t xml:space="preserve"> et al., 2020; </w:t>
      </w:r>
      <w:proofErr w:type="spellStart"/>
      <w:r w:rsidRPr="00026FF9">
        <w:rPr>
          <w:rFonts w:ascii="Karma" w:hAnsi="Karma" w:cs="Karma"/>
          <w:sz w:val="21"/>
          <w:szCs w:val="21"/>
          <w:lang w:val="en-US"/>
        </w:rPr>
        <w:t>Locurcio</w:t>
      </w:r>
      <w:proofErr w:type="spellEnd"/>
      <w:r w:rsidRPr="00026FF9">
        <w:rPr>
          <w:rFonts w:ascii="Karma" w:hAnsi="Karma" w:cs="Karma"/>
          <w:sz w:val="21"/>
          <w:szCs w:val="21"/>
          <w:lang w:val="en-US"/>
        </w:rPr>
        <w:t xml:space="preserve"> et al., </w:t>
      </w:r>
      <w:r w:rsidRPr="00026FF9">
        <w:rPr>
          <w:rFonts w:ascii="Karma" w:hAnsi="Karma" w:cs="Karma"/>
          <w:sz w:val="21"/>
          <w:szCs w:val="21"/>
          <w:lang w:val="en-US"/>
        </w:rPr>
        <w:lastRenderedPageBreak/>
        <w:t xml:space="preserve">2021) for improving several aspects of the living conditions, the pressure on national and local governments has significantly increased due to the need for the identification and development of suitable strategies for achieving social, economic and environmental sustainability targets. Today, policymakers have to deal with intensifying financing challenges (e.g. SDGs, NUA etc.), which pressures </w:t>
      </w:r>
      <w:r w:rsidR="0023517D">
        <w:rPr>
          <w:rFonts w:ascii="Karma" w:hAnsi="Karma" w:cs="Karma"/>
          <w:sz w:val="21"/>
          <w:szCs w:val="21"/>
          <w:lang w:val="en-US"/>
        </w:rPr>
        <w:t xml:space="preserve">(Table 1) </w:t>
      </w:r>
      <w:r w:rsidRPr="00026FF9">
        <w:rPr>
          <w:rFonts w:ascii="Karma" w:hAnsi="Karma" w:cs="Karma"/>
          <w:sz w:val="21"/>
          <w:szCs w:val="21"/>
          <w:lang w:val="en-US"/>
        </w:rPr>
        <w:t>them and related development organizations to find solutions which are recently more and more dedicated to the fiscal stress in efficient policy alternatives (Allam and Newman, 2018).</w:t>
      </w:r>
    </w:p>
    <w:p w14:paraId="660A3DD6" w14:textId="77777777" w:rsidR="0023517D" w:rsidRDefault="0023517D" w:rsidP="00026FF9">
      <w:pPr>
        <w:jc w:val="both"/>
        <w:rPr>
          <w:rFonts w:ascii="Karma" w:hAnsi="Karma" w:cs="Karma"/>
          <w:sz w:val="21"/>
          <w:szCs w:val="21"/>
          <w:lang w:val="en-US"/>
        </w:rPr>
      </w:pPr>
    </w:p>
    <w:p w14:paraId="5AD81880" w14:textId="63DC7DA8" w:rsidR="00FB03BE" w:rsidRPr="0023517D" w:rsidRDefault="0023517D" w:rsidP="0023517D">
      <w:pPr>
        <w:jc w:val="both"/>
        <w:rPr>
          <w:rFonts w:ascii="Karma" w:hAnsi="Karma" w:cs="Karma"/>
          <w:sz w:val="21"/>
          <w:szCs w:val="21"/>
          <w:lang w:val="en-US"/>
        </w:rPr>
      </w:pPr>
      <w:r>
        <w:rPr>
          <w:noProof/>
          <w:lang w:val="it-IT"/>
          <w14:ligatures w14:val="standardContextual"/>
        </w:rPr>
        <w:drawing>
          <wp:inline distT="0" distB="0" distL="0" distR="0" wp14:anchorId="41317373" wp14:editId="2126CD09">
            <wp:extent cx="5702300" cy="1943100"/>
            <wp:effectExtent l="0" t="0" r="0" b="0"/>
            <wp:docPr id="28961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6129" name="Picture 2896129"/>
                    <pic:cNvPicPr/>
                  </pic:nvPicPr>
                  <pic:blipFill>
                    <a:blip r:embed="rId9">
                      <a:extLst>
                        <a:ext uri="{28A0092B-C50C-407E-A947-70E740481C1C}">
                          <a14:useLocalDpi xmlns:a14="http://schemas.microsoft.com/office/drawing/2010/main" val="0"/>
                        </a:ext>
                      </a:extLst>
                    </a:blip>
                    <a:stretch>
                      <a:fillRect/>
                    </a:stretch>
                  </pic:blipFill>
                  <pic:spPr>
                    <a:xfrm>
                      <a:off x="0" y="0"/>
                      <a:ext cx="5702300" cy="1943100"/>
                    </a:xfrm>
                    <a:prstGeom prst="rect">
                      <a:avLst/>
                    </a:prstGeom>
                  </pic:spPr>
                </pic:pic>
              </a:graphicData>
            </a:graphic>
          </wp:inline>
        </w:drawing>
      </w:r>
    </w:p>
    <w:p w14:paraId="12773C05" w14:textId="7A25ADAB" w:rsidR="00FB03BE" w:rsidRPr="00FB03BE" w:rsidRDefault="00FB03BE" w:rsidP="00FB03BE">
      <w:pPr>
        <w:rPr>
          <w:rFonts w:ascii="Karma" w:hAnsi="Karma" w:cs="Karma"/>
          <w:b/>
          <w:bCs/>
          <w:sz w:val="20"/>
          <w:szCs w:val="20"/>
          <w:lang w:val="en-US"/>
        </w:rPr>
      </w:pPr>
      <w:r w:rsidRPr="00491B6A">
        <w:rPr>
          <w:rFonts w:ascii="Karma" w:hAnsi="Karma" w:cs="Karma"/>
          <w:b/>
          <w:bCs/>
          <w:sz w:val="20"/>
          <w:szCs w:val="20"/>
          <w:lang w:val="en-US"/>
        </w:rPr>
        <w:t>Figure 1</w:t>
      </w:r>
      <w:r>
        <w:rPr>
          <w:rFonts w:ascii="Karma" w:hAnsi="Karma" w:cs="Karma"/>
          <w:b/>
          <w:bCs/>
          <w:sz w:val="20"/>
          <w:szCs w:val="20"/>
          <w:lang w:val="en-US"/>
        </w:rPr>
        <w:t xml:space="preserve">. </w:t>
      </w:r>
      <w:r w:rsidRPr="00491B6A">
        <w:rPr>
          <w:rFonts w:ascii="Karma" w:hAnsi="Karma" w:cs="Karma"/>
          <w:sz w:val="20"/>
          <w:szCs w:val="20"/>
          <w:lang w:val="en-US"/>
        </w:rPr>
        <w:t xml:space="preserve">Trend of the different discount rates applied in the DCFA according to the </w:t>
      </w:r>
      <w:proofErr w:type="spellStart"/>
      <w:r w:rsidRPr="00491B6A">
        <w:rPr>
          <w:rFonts w:ascii="Karma" w:hAnsi="Karma" w:cs="Karma"/>
          <w:sz w:val="20"/>
          <w:szCs w:val="20"/>
          <w:lang w:val="en-US"/>
        </w:rPr>
        <w:t>c</w:t>
      </w:r>
      <w:r w:rsidRPr="00491B6A">
        <w:rPr>
          <w:rFonts w:ascii="Karma" w:hAnsi="Karma" w:cs="Karma"/>
          <w:sz w:val="20"/>
          <w:szCs w:val="20"/>
          <w:vertAlign w:val="subscript"/>
          <w:lang w:val="en-US"/>
        </w:rPr>
        <w:t>extra</w:t>
      </w:r>
      <w:proofErr w:type="spellEnd"/>
      <w:r w:rsidRPr="00491B6A">
        <w:rPr>
          <w:rFonts w:ascii="Karma" w:hAnsi="Karma" w:cs="Karma"/>
          <w:sz w:val="20"/>
          <w:szCs w:val="20"/>
          <w:lang w:val="en-US"/>
        </w:rPr>
        <w:t xml:space="preserve"> and the </w:t>
      </w:r>
      <w:proofErr w:type="spellStart"/>
      <w:r w:rsidRPr="00491B6A">
        <w:rPr>
          <w:rFonts w:ascii="Karma" w:hAnsi="Karma" w:cs="Karma"/>
          <w:sz w:val="20"/>
          <w:szCs w:val="20"/>
          <w:lang w:val="en-US"/>
        </w:rPr>
        <w:t>S</w:t>
      </w:r>
      <w:r w:rsidRPr="00491B6A">
        <w:rPr>
          <w:rFonts w:ascii="Karma" w:hAnsi="Karma" w:cs="Karma"/>
          <w:sz w:val="20"/>
          <w:szCs w:val="20"/>
          <w:vertAlign w:val="subscript"/>
          <w:lang w:val="en-US"/>
        </w:rPr>
        <w:t>construction</w:t>
      </w:r>
      <w:proofErr w:type="spellEnd"/>
      <w:r w:rsidRPr="00491B6A">
        <w:rPr>
          <w:rFonts w:ascii="Karma" w:hAnsi="Karma" w:cs="Karma"/>
          <w:sz w:val="20"/>
          <w:szCs w:val="20"/>
          <w:vertAlign w:val="subscript"/>
          <w:lang w:val="en-US"/>
        </w:rPr>
        <w:t xml:space="preserve"> </w:t>
      </w:r>
      <w:r w:rsidRPr="00491B6A">
        <w:rPr>
          <w:rFonts w:ascii="Karma" w:hAnsi="Karma" w:cs="Karma"/>
          <w:sz w:val="20"/>
          <w:szCs w:val="20"/>
          <w:lang w:val="en-US"/>
        </w:rPr>
        <w:t>variables variations.</w:t>
      </w:r>
    </w:p>
    <w:p w14:paraId="4BA4085F" w14:textId="77777777" w:rsidR="008A5BF9" w:rsidRDefault="008A5BF9"/>
    <w:p w14:paraId="1103F48A" w14:textId="2F2F8FED" w:rsidR="00FB03BE" w:rsidRPr="00FB03BE" w:rsidRDefault="00FB03BE" w:rsidP="00FB03BE">
      <w:pPr>
        <w:rPr>
          <w:rFonts w:ascii="Karma" w:hAnsi="Karma" w:cs="Karma"/>
          <w:b/>
          <w:bCs/>
          <w:sz w:val="20"/>
          <w:szCs w:val="20"/>
          <w:lang w:val="en-US"/>
        </w:rPr>
      </w:pPr>
      <w:r w:rsidRPr="00491B6A">
        <w:rPr>
          <w:rFonts w:ascii="Karma" w:hAnsi="Karma" w:cs="Karma"/>
          <w:b/>
          <w:bCs/>
          <w:sz w:val="20"/>
          <w:szCs w:val="20"/>
          <w:lang w:val="en-US"/>
        </w:rPr>
        <w:t>Table 1</w:t>
      </w:r>
      <w:r>
        <w:rPr>
          <w:rFonts w:ascii="Karma" w:hAnsi="Karma" w:cs="Karma"/>
          <w:b/>
          <w:bCs/>
          <w:sz w:val="20"/>
          <w:szCs w:val="20"/>
          <w:lang w:val="en-US"/>
        </w:rPr>
        <w:t xml:space="preserve">. </w:t>
      </w:r>
      <w:r w:rsidRPr="00491B6A">
        <w:rPr>
          <w:rFonts w:ascii="Karma" w:hAnsi="Karma" w:cs="Karma"/>
          <w:sz w:val="20"/>
          <w:szCs w:val="20"/>
          <w:lang w:val="en-US"/>
        </w:rPr>
        <w:t>Financial parameters</w:t>
      </w:r>
    </w:p>
    <w:p w14:paraId="6B94E88F" w14:textId="77777777" w:rsidR="00FB03BE" w:rsidRDefault="00FB03BE"/>
    <w:tbl>
      <w:tblPr>
        <w:tblStyle w:val="TableGrid"/>
        <w:tblW w:w="9899" w:type="dxa"/>
        <w:tblLook w:val="0600" w:firstRow="0" w:lastRow="0" w:firstColumn="0" w:lastColumn="0" w:noHBand="1" w:noVBand="1"/>
      </w:tblPr>
      <w:tblGrid>
        <w:gridCol w:w="4949"/>
        <w:gridCol w:w="4950"/>
      </w:tblGrid>
      <w:tr w:rsidR="00FB03BE" w:rsidRPr="00FB03BE" w14:paraId="4753E2AB" w14:textId="77777777" w:rsidTr="00B2432D">
        <w:trPr>
          <w:trHeight w:val="282"/>
        </w:trPr>
        <w:tc>
          <w:tcPr>
            <w:tcW w:w="9899" w:type="dxa"/>
            <w:gridSpan w:val="2"/>
            <w:tcBorders>
              <w:left w:val="nil"/>
              <w:bottom w:val="single" w:sz="4" w:space="0" w:color="auto"/>
              <w:right w:val="nil"/>
            </w:tcBorders>
          </w:tcPr>
          <w:p w14:paraId="25A1B2C4" w14:textId="77777777" w:rsidR="00FB03BE" w:rsidRPr="00FB03BE" w:rsidRDefault="00FB03BE" w:rsidP="00B2432D">
            <w:pPr>
              <w:jc w:val="center"/>
              <w:rPr>
                <w:rFonts w:ascii="Karma" w:hAnsi="Karma" w:cs="Karma"/>
                <w:b/>
                <w:bCs/>
                <w:sz w:val="20"/>
                <w:szCs w:val="20"/>
                <w:lang w:val="en-US"/>
              </w:rPr>
            </w:pPr>
            <w:r w:rsidRPr="00FB03BE">
              <w:rPr>
                <w:rFonts w:ascii="Karma" w:hAnsi="Karma" w:cs="Karma"/>
                <w:b/>
                <w:bCs/>
                <w:sz w:val="20"/>
                <w:szCs w:val="20"/>
                <w:lang w:val="en-US"/>
              </w:rPr>
              <w:t>Unit cost</w:t>
            </w:r>
          </w:p>
        </w:tc>
      </w:tr>
      <w:tr w:rsidR="00FB03BE" w:rsidRPr="00FB03BE" w14:paraId="59C4B1CD" w14:textId="77777777" w:rsidTr="00B2432D">
        <w:trPr>
          <w:trHeight w:val="268"/>
        </w:trPr>
        <w:tc>
          <w:tcPr>
            <w:tcW w:w="4949" w:type="dxa"/>
            <w:tcBorders>
              <w:left w:val="nil"/>
              <w:bottom w:val="nil"/>
              <w:right w:val="nil"/>
            </w:tcBorders>
          </w:tcPr>
          <w:p w14:paraId="782B8F50" w14:textId="77777777" w:rsidR="00FB03BE" w:rsidRPr="00FB03BE" w:rsidRDefault="00FB03BE" w:rsidP="00B2432D">
            <w:pPr>
              <w:jc w:val="center"/>
              <w:rPr>
                <w:rFonts w:ascii="Karma" w:hAnsi="Karma" w:cs="Karma"/>
                <w:sz w:val="20"/>
                <w:szCs w:val="20"/>
                <w:lang w:val="en-US"/>
              </w:rPr>
            </w:pPr>
            <w:r w:rsidRPr="00FB03BE">
              <w:rPr>
                <w:rFonts w:ascii="Karma" w:hAnsi="Karma" w:cs="Karma"/>
                <w:sz w:val="20"/>
                <w:szCs w:val="20"/>
                <w:lang w:val="en-US"/>
              </w:rPr>
              <w:t>C building, res</w:t>
            </w:r>
          </w:p>
        </w:tc>
        <w:tc>
          <w:tcPr>
            <w:tcW w:w="4949" w:type="dxa"/>
            <w:tcBorders>
              <w:left w:val="nil"/>
              <w:bottom w:val="nil"/>
              <w:right w:val="nil"/>
            </w:tcBorders>
          </w:tcPr>
          <w:p w14:paraId="3A25DE0F" w14:textId="77777777" w:rsidR="00FB03BE" w:rsidRPr="00FB03BE" w:rsidRDefault="00FB03BE" w:rsidP="00B2432D">
            <w:pPr>
              <w:jc w:val="center"/>
              <w:rPr>
                <w:rFonts w:ascii="Karma" w:hAnsi="Karma" w:cs="Karma"/>
                <w:sz w:val="20"/>
                <w:szCs w:val="20"/>
                <w:lang w:val="en-US"/>
              </w:rPr>
            </w:pPr>
            <w:r w:rsidRPr="00FB03BE">
              <w:rPr>
                <w:rFonts w:ascii="Karma" w:hAnsi="Karma" w:cs="Karma"/>
                <w:sz w:val="20"/>
                <w:szCs w:val="20"/>
                <w:lang w:val="en-US"/>
              </w:rPr>
              <w:t>1,200 €/sqm</w:t>
            </w:r>
          </w:p>
        </w:tc>
      </w:tr>
      <w:tr w:rsidR="00FB03BE" w:rsidRPr="00FB03BE" w14:paraId="1CCC638D" w14:textId="77777777" w:rsidTr="00B2432D">
        <w:trPr>
          <w:trHeight w:val="268"/>
        </w:trPr>
        <w:tc>
          <w:tcPr>
            <w:tcW w:w="4949" w:type="dxa"/>
            <w:tcBorders>
              <w:top w:val="nil"/>
              <w:left w:val="nil"/>
              <w:bottom w:val="nil"/>
              <w:right w:val="nil"/>
            </w:tcBorders>
          </w:tcPr>
          <w:p w14:paraId="69E5E2D5" w14:textId="77777777" w:rsidR="00FB03BE" w:rsidRPr="00FB03BE" w:rsidRDefault="00FB03BE" w:rsidP="00B2432D">
            <w:pPr>
              <w:jc w:val="center"/>
              <w:rPr>
                <w:rFonts w:ascii="Karma" w:hAnsi="Karma" w:cs="Karma"/>
                <w:sz w:val="20"/>
                <w:szCs w:val="20"/>
                <w:lang w:val="en-US"/>
              </w:rPr>
            </w:pPr>
            <w:r w:rsidRPr="00FB03BE">
              <w:rPr>
                <w:rFonts w:ascii="Karma" w:hAnsi="Karma" w:cs="Karma"/>
                <w:sz w:val="20"/>
                <w:szCs w:val="20"/>
                <w:lang w:val="en-US"/>
              </w:rPr>
              <w:t>C building, comm</w:t>
            </w:r>
          </w:p>
        </w:tc>
        <w:tc>
          <w:tcPr>
            <w:tcW w:w="4949" w:type="dxa"/>
            <w:tcBorders>
              <w:top w:val="nil"/>
              <w:left w:val="nil"/>
              <w:bottom w:val="nil"/>
              <w:right w:val="nil"/>
            </w:tcBorders>
          </w:tcPr>
          <w:p w14:paraId="333BEBA8" w14:textId="77777777" w:rsidR="00FB03BE" w:rsidRPr="00FB03BE" w:rsidRDefault="00FB03BE" w:rsidP="00B2432D">
            <w:pPr>
              <w:jc w:val="center"/>
              <w:rPr>
                <w:rFonts w:ascii="Karma" w:hAnsi="Karma" w:cs="Karma"/>
                <w:sz w:val="20"/>
                <w:szCs w:val="20"/>
                <w:lang w:val="en-US"/>
              </w:rPr>
            </w:pPr>
            <w:r w:rsidRPr="00FB03BE">
              <w:rPr>
                <w:rFonts w:ascii="Karma" w:hAnsi="Karma" w:cs="Karma"/>
                <w:sz w:val="20"/>
                <w:szCs w:val="20"/>
                <w:lang w:val="en-US"/>
              </w:rPr>
              <w:t>1,000 €/sqm</w:t>
            </w:r>
          </w:p>
        </w:tc>
      </w:tr>
      <w:tr w:rsidR="00FB03BE" w:rsidRPr="00FB03BE" w14:paraId="1A50BAAC" w14:textId="77777777" w:rsidTr="00B2432D">
        <w:trPr>
          <w:trHeight w:val="268"/>
        </w:trPr>
        <w:tc>
          <w:tcPr>
            <w:tcW w:w="4949" w:type="dxa"/>
            <w:tcBorders>
              <w:top w:val="nil"/>
              <w:left w:val="nil"/>
              <w:bottom w:val="nil"/>
              <w:right w:val="nil"/>
            </w:tcBorders>
          </w:tcPr>
          <w:p w14:paraId="6813D1B1" w14:textId="77777777" w:rsidR="00FB03BE" w:rsidRPr="00FB03BE" w:rsidRDefault="00FB03BE" w:rsidP="00B2432D">
            <w:pPr>
              <w:jc w:val="center"/>
              <w:rPr>
                <w:rFonts w:ascii="Karma" w:hAnsi="Karma" w:cs="Karma"/>
                <w:sz w:val="20"/>
                <w:szCs w:val="20"/>
                <w:lang w:val="en-US"/>
              </w:rPr>
            </w:pPr>
            <w:r w:rsidRPr="00FB03BE">
              <w:rPr>
                <w:rFonts w:ascii="Karma" w:hAnsi="Karma" w:cs="Karma"/>
                <w:sz w:val="20"/>
                <w:szCs w:val="20"/>
                <w:lang w:val="en-US"/>
              </w:rPr>
              <w:t>C building, off</w:t>
            </w:r>
          </w:p>
        </w:tc>
        <w:tc>
          <w:tcPr>
            <w:tcW w:w="4949" w:type="dxa"/>
            <w:tcBorders>
              <w:top w:val="nil"/>
              <w:left w:val="nil"/>
              <w:bottom w:val="nil"/>
              <w:right w:val="nil"/>
            </w:tcBorders>
          </w:tcPr>
          <w:p w14:paraId="5B60595A" w14:textId="77777777" w:rsidR="00FB03BE" w:rsidRPr="00FB03BE" w:rsidRDefault="00FB03BE" w:rsidP="00B2432D">
            <w:pPr>
              <w:jc w:val="center"/>
              <w:rPr>
                <w:rFonts w:ascii="Karma" w:hAnsi="Karma" w:cs="Karma"/>
                <w:sz w:val="20"/>
                <w:szCs w:val="20"/>
                <w:lang w:val="en-US"/>
              </w:rPr>
            </w:pPr>
            <w:r w:rsidRPr="00FB03BE">
              <w:rPr>
                <w:rFonts w:ascii="Karma" w:hAnsi="Karma" w:cs="Karma"/>
                <w:sz w:val="20"/>
                <w:szCs w:val="20"/>
                <w:lang w:val="en-US"/>
              </w:rPr>
              <w:t>1,000 €/sqm</w:t>
            </w:r>
          </w:p>
        </w:tc>
      </w:tr>
      <w:tr w:rsidR="00FB03BE" w:rsidRPr="00FB03BE" w14:paraId="47E5E63C" w14:textId="77777777" w:rsidTr="00B2432D">
        <w:trPr>
          <w:trHeight w:val="268"/>
        </w:trPr>
        <w:tc>
          <w:tcPr>
            <w:tcW w:w="4949" w:type="dxa"/>
            <w:tcBorders>
              <w:top w:val="nil"/>
              <w:left w:val="nil"/>
              <w:bottom w:val="nil"/>
              <w:right w:val="nil"/>
            </w:tcBorders>
          </w:tcPr>
          <w:p w14:paraId="26161E52" w14:textId="77777777" w:rsidR="00FB03BE" w:rsidRPr="00FB03BE" w:rsidRDefault="00FB03BE" w:rsidP="00B2432D">
            <w:pPr>
              <w:jc w:val="center"/>
              <w:rPr>
                <w:rFonts w:ascii="Karma" w:hAnsi="Karma" w:cs="Karma"/>
                <w:sz w:val="20"/>
                <w:szCs w:val="20"/>
                <w:lang w:val="en-US"/>
              </w:rPr>
            </w:pPr>
            <w:r w:rsidRPr="00FB03BE">
              <w:rPr>
                <w:rFonts w:ascii="Karma" w:hAnsi="Karma" w:cs="Karma"/>
                <w:sz w:val="20"/>
                <w:szCs w:val="20"/>
                <w:lang w:val="en-US"/>
              </w:rPr>
              <w:t xml:space="preserve">C </w:t>
            </w:r>
            <w:proofErr w:type="spellStart"/>
            <w:r w:rsidRPr="00FB03BE">
              <w:rPr>
                <w:rFonts w:ascii="Karma" w:hAnsi="Karma" w:cs="Karma"/>
                <w:sz w:val="20"/>
                <w:szCs w:val="20"/>
                <w:lang w:val="en-US"/>
              </w:rPr>
              <w:t>privgreen</w:t>
            </w:r>
            <w:proofErr w:type="spellEnd"/>
          </w:p>
        </w:tc>
        <w:tc>
          <w:tcPr>
            <w:tcW w:w="4949" w:type="dxa"/>
            <w:tcBorders>
              <w:top w:val="nil"/>
              <w:left w:val="nil"/>
              <w:bottom w:val="nil"/>
              <w:right w:val="nil"/>
            </w:tcBorders>
          </w:tcPr>
          <w:p w14:paraId="3995EE5B" w14:textId="77777777" w:rsidR="00FB03BE" w:rsidRPr="00FB03BE" w:rsidRDefault="00FB03BE" w:rsidP="00B2432D">
            <w:pPr>
              <w:jc w:val="center"/>
              <w:rPr>
                <w:rFonts w:ascii="Karma" w:hAnsi="Karma" w:cs="Karma"/>
                <w:sz w:val="20"/>
                <w:szCs w:val="20"/>
                <w:lang w:val="en-US"/>
              </w:rPr>
            </w:pPr>
            <w:r w:rsidRPr="00FB03BE">
              <w:rPr>
                <w:rFonts w:ascii="Karma" w:hAnsi="Karma" w:cs="Karma"/>
                <w:sz w:val="20"/>
                <w:szCs w:val="20"/>
                <w:lang w:val="en-US"/>
              </w:rPr>
              <w:t>70 €/sqm</w:t>
            </w:r>
          </w:p>
        </w:tc>
      </w:tr>
      <w:tr w:rsidR="00FB03BE" w:rsidRPr="00FB03BE" w14:paraId="319FB7D3" w14:textId="77777777" w:rsidTr="00B2432D">
        <w:trPr>
          <w:trHeight w:val="268"/>
        </w:trPr>
        <w:tc>
          <w:tcPr>
            <w:tcW w:w="4949" w:type="dxa"/>
            <w:tcBorders>
              <w:top w:val="nil"/>
              <w:left w:val="nil"/>
              <w:bottom w:val="nil"/>
              <w:right w:val="nil"/>
            </w:tcBorders>
          </w:tcPr>
          <w:p w14:paraId="59BE6915" w14:textId="77777777" w:rsidR="00FB03BE" w:rsidRPr="00FB03BE" w:rsidRDefault="00FB03BE" w:rsidP="00B2432D">
            <w:pPr>
              <w:jc w:val="center"/>
              <w:rPr>
                <w:rFonts w:ascii="Karma" w:hAnsi="Karma" w:cs="Karma"/>
                <w:sz w:val="20"/>
                <w:szCs w:val="20"/>
                <w:lang w:val="en-US"/>
              </w:rPr>
            </w:pPr>
            <w:r w:rsidRPr="00FB03BE">
              <w:rPr>
                <w:rFonts w:ascii="Karma" w:hAnsi="Karma" w:cs="Karma"/>
                <w:sz w:val="20"/>
                <w:szCs w:val="20"/>
                <w:lang w:val="en-US"/>
              </w:rPr>
              <w:t>Cp</w:t>
            </w:r>
          </w:p>
        </w:tc>
        <w:tc>
          <w:tcPr>
            <w:tcW w:w="4949" w:type="dxa"/>
            <w:tcBorders>
              <w:top w:val="nil"/>
              <w:left w:val="nil"/>
              <w:bottom w:val="nil"/>
              <w:right w:val="nil"/>
            </w:tcBorders>
          </w:tcPr>
          <w:p w14:paraId="78D229EF" w14:textId="77777777" w:rsidR="00FB03BE" w:rsidRPr="00FB03BE" w:rsidRDefault="00FB03BE" w:rsidP="00B2432D">
            <w:pPr>
              <w:jc w:val="center"/>
              <w:rPr>
                <w:rFonts w:ascii="Karma" w:hAnsi="Karma" w:cs="Karma"/>
                <w:sz w:val="20"/>
                <w:szCs w:val="20"/>
                <w:lang w:val="en-US"/>
              </w:rPr>
            </w:pPr>
            <w:r w:rsidRPr="00FB03BE">
              <w:rPr>
                <w:rFonts w:ascii="Karma" w:hAnsi="Karma" w:cs="Karma"/>
                <w:sz w:val="20"/>
                <w:szCs w:val="20"/>
                <w:lang w:val="en-US"/>
              </w:rPr>
              <w:t>60 €/sqm</w:t>
            </w:r>
          </w:p>
        </w:tc>
      </w:tr>
      <w:tr w:rsidR="00FB03BE" w:rsidRPr="00FB03BE" w14:paraId="2DB4307F" w14:textId="77777777" w:rsidTr="00B2432D">
        <w:trPr>
          <w:trHeight w:val="268"/>
        </w:trPr>
        <w:tc>
          <w:tcPr>
            <w:tcW w:w="4949" w:type="dxa"/>
            <w:tcBorders>
              <w:top w:val="nil"/>
              <w:left w:val="nil"/>
              <w:bottom w:val="nil"/>
              <w:right w:val="nil"/>
            </w:tcBorders>
          </w:tcPr>
          <w:p w14:paraId="575BF92F" w14:textId="77777777" w:rsidR="00FB03BE" w:rsidRPr="00FB03BE" w:rsidRDefault="00FB03BE" w:rsidP="00B2432D">
            <w:pPr>
              <w:jc w:val="center"/>
              <w:rPr>
                <w:rFonts w:ascii="Karma" w:hAnsi="Karma" w:cs="Karma"/>
                <w:sz w:val="20"/>
                <w:szCs w:val="20"/>
                <w:lang w:val="en-US"/>
              </w:rPr>
            </w:pPr>
            <w:proofErr w:type="spellStart"/>
            <w:r w:rsidRPr="00FB03BE">
              <w:rPr>
                <w:rFonts w:ascii="Karma" w:hAnsi="Karma" w:cs="Karma"/>
                <w:sz w:val="20"/>
                <w:szCs w:val="20"/>
                <w:lang w:val="en-US"/>
              </w:rPr>
              <w:t>Curb,res</w:t>
            </w:r>
            <w:proofErr w:type="spellEnd"/>
          </w:p>
        </w:tc>
        <w:tc>
          <w:tcPr>
            <w:tcW w:w="4949" w:type="dxa"/>
            <w:tcBorders>
              <w:top w:val="nil"/>
              <w:left w:val="nil"/>
              <w:bottom w:val="nil"/>
              <w:right w:val="nil"/>
            </w:tcBorders>
          </w:tcPr>
          <w:p w14:paraId="7E73709D" w14:textId="77777777" w:rsidR="00FB03BE" w:rsidRPr="00FB03BE" w:rsidRDefault="00FB03BE" w:rsidP="00B2432D">
            <w:pPr>
              <w:jc w:val="center"/>
              <w:rPr>
                <w:rFonts w:ascii="Karma" w:hAnsi="Karma" w:cs="Karma"/>
                <w:sz w:val="20"/>
                <w:szCs w:val="20"/>
                <w:lang w:val="en-US"/>
              </w:rPr>
            </w:pPr>
            <w:r w:rsidRPr="00FB03BE">
              <w:rPr>
                <w:rFonts w:ascii="Karma" w:hAnsi="Karma" w:cs="Karma"/>
                <w:sz w:val="20"/>
                <w:szCs w:val="20"/>
                <w:lang w:val="en-US"/>
              </w:rPr>
              <w:t>90 €/sqm</w:t>
            </w:r>
          </w:p>
        </w:tc>
      </w:tr>
      <w:tr w:rsidR="00FB03BE" w:rsidRPr="00FB03BE" w14:paraId="2E932F6F" w14:textId="77777777" w:rsidTr="00B2432D">
        <w:trPr>
          <w:trHeight w:val="268"/>
        </w:trPr>
        <w:tc>
          <w:tcPr>
            <w:tcW w:w="4949" w:type="dxa"/>
            <w:tcBorders>
              <w:top w:val="nil"/>
              <w:left w:val="nil"/>
              <w:bottom w:val="nil"/>
              <w:right w:val="nil"/>
            </w:tcBorders>
          </w:tcPr>
          <w:p w14:paraId="74B53C8B" w14:textId="77777777" w:rsidR="00FB03BE" w:rsidRPr="00FB03BE" w:rsidRDefault="00FB03BE" w:rsidP="00B2432D">
            <w:pPr>
              <w:jc w:val="center"/>
              <w:rPr>
                <w:rFonts w:ascii="Karma" w:hAnsi="Karma" w:cs="Karma"/>
                <w:sz w:val="20"/>
                <w:szCs w:val="20"/>
                <w:lang w:val="en-US"/>
              </w:rPr>
            </w:pPr>
            <w:proofErr w:type="spellStart"/>
            <w:r w:rsidRPr="00FB03BE">
              <w:rPr>
                <w:rFonts w:ascii="Karma" w:hAnsi="Karma" w:cs="Karma"/>
                <w:sz w:val="20"/>
                <w:szCs w:val="20"/>
                <w:lang w:val="en-US"/>
              </w:rPr>
              <w:t>Curb,comm</w:t>
            </w:r>
            <w:proofErr w:type="spellEnd"/>
          </w:p>
        </w:tc>
        <w:tc>
          <w:tcPr>
            <w:tcW w:w="4949" w:type="dxa"/>
            <w:tcBorders>
              <w:top w:val="nil"/>
              <w:left w:val="nil"/>
              <w:bottom w:val="nil"/>
              <w:right w:val="nil"/>
            </w:tcBorders>
          </w:tcPr>
          <w:p w14:paraId="67E09A7A" w14:textId="77777777" w:rsidR="00FB03BE" w:rsidRPr="00FB03BE" w:rsidRDefault="00FB03BE" w:rsidP="00B2432D">
            <w:pPr>
              <w:jc w:val="center"/>
              <w:rPr>
                <w:rFonts w:ascii="Karma" w:hAnsi="Karma" w:cs="Karma"/>
                <w:sz w:val="20"/>
                <w:szCs w:val="20"/>
                <w:lang w:val="en-US"/>
              </w:rPr>
            </w:pPr>
            <w:r w:rsidRPr="00FB03BE">
              <w:rPr>
                <w:rFonts w:ascii="Karma" w:hAnsi="Karma" w:cs="Karma"/>
                <w:sz w:val="20"/>
                <w:szCs w:val="20"/>
                <w:lang w:val="en-US"/>
              </w:rPr>
              <w:t>60 €/sqm</w:t>
            </w:r>
          </w:p>
        </w:tc>
      </w:tr>
      <w:tr w:rsidR="00FB03BE" w:rsidRPr="00FB03BE" w14:paraId="6119B235" w14:textId="77777777" w:rsidTr="00B2432D">
        <w:trPr>
          <w:trHeight w:val="268"/>
        </w:trPr>
        <w:tc>
          <w:tcPr>
            <w:tcW w:w="4949" w:type="dxa"/>
            <w:tcBorders>
              <w:top w:val="nil"/>
              <w:left w:val="nil"/>
              <w:right w:val="nil"/>
            </w:tcBorders>
          </w:tcPr>
          <w:p w14:paraId="5F8F8B7D" w14:textId="77777777" w:rsidR="00FB03BE" w:rsidRPr="00FB03BE" w:rsidRDefault="00FB03BE" w:rsidP="00B2432D">
            <w:pPr>
              <w:jc w:val="center"/>
              <w:rPr>
                <w:rFonts w:ascii="Karma" w:hAnsi="Karma" w:cs="Karma"/>
                <w:sz w:val="20"/>
                <w:szCs w:val="20"/>
                <w:lang w:val="en-US"/>
              </w:rPr>
            </w:pPr>
            <w:proofErr w:type="spellStart"/>
            <w:r w:rsidRPr="00FB03BE">
              <w:rPr>
                <w:rFonts w:ascii="Karma" w:hAnsi="Karma" w:cs="Karma"/>
                <w:sz w:val="20"/>
                <w:szCs w:val="20"/>
                <w:lang w:val="en-US"/>
              </w:rPr>
              <w:t>Curb,off</w:t>
            </w:r>
            <w:proofErr w:type="spellEnd"/>
          </w:p>
        </w:tc>
        <w:tc>
          <w:tcPr>
            <w:tcW w:w="4949" w:type="dxa"/>
            <w:tcBorders>
              <w:top w:val="nil"/>
              <w:left w:val="nil"/>
              <w:right w:val="nil"/>
            </w:tcBorders>
          </w:tcPr>
          <w:p w14:paraId="20E73645" w14:textId="77777777" w:rsidR="00FB03BE" w:rsidRPr="00FB03BE" w:rsidRDefault="00FB03BE" w:rsidP="00B2432D">
            <w:pPr>
              <w:jc w:val="center"/>
              <w:rPr>
                <w:rFonts w:ascii="Karma" w:hAnsi="Karma" w:cs="Karma"/>
                <w:sz w:val="20"/>
                <w:szCs w:val="20"/>
                <w:lang w:val="en-US"/>
              </w:rPr>
            </w:pPr>
            <w:r w:rsidRPr="00FB03BE">
              <w:rPr>
                <w:rFonts w:ascii="Karma" w:hAnsi="Karma" w:cs="Karma"/>
                <w:sz w:val="20"/>
                <w:szCs w:val="20"/>
                <w:lang w:val="en-US"/>
              </w:rPr>
              <w:t>60 €/sqm</w:t>
            </w:r>
          </w:p>
        </w:tc>
      </w:tr>
      <w:tr w:rsidR="00FB03BE" w:rsidRPr="00FB03BE" w14:paraId="0C98DCE9" w14:textId="77777777" w:rsidTr="00B2432D">
        <w:trPr>
          <w:trHeight w:val="268"/>
        </w:trPr>
        <w:tc>
          <w:tcPr>
            <w:tcW w:w="9899" w:type="dxa"/>
            <w:gridSpan w:val="2"/>
            <w:tcBorders>
              <w:left w:val="nil"/>
              <w:bottom w:val="single" w:sz="4" w:space="0" w:color="auto"/>
              <w:right w:val="nil"/>
            </w:tcBorders>
          </w:tcPr>
          <w:p w14:paraId="31D67D7C" w14:textId="77777777" w:rsidR="00FB03BE" w:rsidRPr="00FB03BE" w:rsidRDefault="00FB03BE" w:rsidP="00B2432D">
            <w:pPr>
              <w:jc w:val="center"/>
              <w:rPr>
                <w:rFonts w:ascii="Karma" w:hAnsi="Karma" w:cs="Karma"/>
                <w:b/>
                <w:bCs/>
                <w:sz w:val="20"/>
                <w:szCs w:val="20"/>
                <w:lang w:val="en-US"/>
              </w:rPr>
            </w:pPr>
            <w:r w:rsidRPr="00FB03BE">
              <w:rPr>
                <w:rFonts w:ascii="Karma" w:hAnsi="Karma" w:cs="Karma"/>
                <w:b/>
                <w:bCs/>
                <w:sz w:val="20"/>
                <w:szCs w:val="20"/>
                <w:lang w:val="en-US"/>
              </w:rPr>
              <w:t>Unit revenues</w:t>
            </w:r>
          </w:p>
        </w:tc>
      </w:tr>
      <w:tr w:rsidR="00FB03BE" w:rsidRPr="00FB03BE" w14:paraId="6EE4C89E" w14:textId="77777777" w:rsidTr="00B2432D">
        <w:trPr>
          <w:trHeight w:val="268"/>
        </w:trPr>
        <w:tc>
          <w:tcPr>
            <w:tcW w:w="4949" w:type="dxa"/>
            <w:tcBorders>
              <w:left w:val="nil"/>
              <w:bottom w:val="nil"/>
              <w:right w:val="nil"/>
            </w:tcBorders>
          </w:tcPr>
          <w:p w14:paraId="5F5F8878" w14:textId="77777777" w:rsidR="00FB03BE" w:rsidRPr="00FB03BE" w:rsidRDefault="00FB03BE" w:rsidP="00B2432D">
            <w:pPr>
              <w:jc w:val="center"/>
              <w:rPr>
                <w:rFonts w:ascii="Karma" w:hAnsi="Karma" w:cs="Karma"/>
                <w:sz w:val="20"/>
                <w:szCs w:val="20"/>
                <w:lang w:val="en-US"/>
              </w:rPr>
            </w:pPr>
            <w:r w:rsidRPr="00FB03BE">
              <w:rPr>
                <w:rFonts w:ascii="Karma" w:hAnsi="Karma" w:cs="Karma"/>
                <w:sz w:val="20"/>
                <w:szCs w:val="20"/>
                <w:lang w:val="en-US"/>
              </w:rPr>
              <w:t>R res</w:t>
            </w:r>
          </w:p>
        </w:tc>
        <w:tc>
          <w:tcPr>
            <w:tcW w:w="4949" w:type="dxa"/>
            <w:tcBorders>
              <w:left w:val="nil"/>
              <w:bottom w:val="nil"/>
              <w:right w:val="nil"/>
            </w:tcBorders>
          </w:tcPr>
          <w:p w14:paraId="6F035BC7" w14:textId="77777777" w:rsidR="00FB03BE" w:rsidRPr="00FB03BE" w:rsidRDefault="00FB03BE" w:rsidP="00B2432D">
            <w:pPr>
              <w:jc w:val="center"/>
              <w:rPr>
                <w:rFonts w:ascii="Karma" w:hAnsi="Karma" w:cs="Karma"/>
                <w:sz w:val="20"/>
                <w:szCs w:val="20"/>
                <w:lang w:val="en-US"/>
              </w:rPr>
            </w:pPr>
            <w:r w:rsidRPr="00FB03BE">
              <w:rPr>
                <w:rFonts w:ascii="Karma" w:hAnsi="Karma" w:cs="Karma"/>
                <w:sz w:val="20"/>
                <w:szCs w:val="20"/>
                <w:lang w:val="en-US"/>
              </w:rPr>
              <w:t>2,100 €/sqm</w:t>
            </w:r>
          </w:p>
        </w:tc>
      </w:tr>
      <w:tr w:rsidR="00FB03BE" w:rsidRPr="00FB03BE" w14:paraId="47CF2186" w14:textId="77777777" w:rsidTr="00B2432D">
        <w:trPr>
          <w:trHeight w:val="268"/>
        </w:trPr>
        <w:tc>
          <w:tcPr>
            <w:tcW w:w="4949" w:type="dxa"/>
            <w:tcBorders>
              <w:top w:val="nil"/>
              <w:left w:val="nil"/>
              <w:bottom w:val="nil"/>
              <w:right w:val="nil"/>
            </w:tcBorders>
          </w:tcPr>
          <w:p w14:paraId="59F141D2" w14:textId="77777777" w:rsidR="00FB03BE" w:rsidRPr="00FB03BE" w:rsidRDefault="00FB03BE" w:rsidP="00B2432D">
            <w:pPr>
              <w:jc w:val="center"/>
              <w:rPr>
                <w:rFonts w:ascii="Karma" w:hAnsi="Karma" w:cs="Karma"/>
                <w:sz w:val="20"/>
                <w:szCs w:val="20"/>
                <w:lang w:val="en-US"/>
              </w:rPr>
            </w:pPr>
            <w:r w:rsidRPr="00FB03BE">
              <w:rPr>
                <w:rFonts w:ascii="Karma" w:hAnsi="Karma" w:cs="Karma"/>
                <w:sz w:val="20"/>
                <w:szCs w:val="20"/>
                <w:lang w:val="en-US"/>
              </w:rPr>
              <w:t>R comm</w:t>
            </w:r>
          </w:p>
        </w:tc>
        <w:tc>
          <w:tcPr>
            <w:tcW w:w="4949" w:type="dxa"/>
            <w:tcBorders>
              <w:top w:val="nil"/>
              <w:left w:val="nil"/>
              <w:bottom w:val="nil"/>
              <w:right w:val="nil"/>
            </w:tcBorders>
          </w:tcPr>
          <w:p w14:paraId="1776E8D6" w14:textId="77777777" w:rsidR="00FB03BE" w:rsidRPr="00FB03BE" w:rsidRDefault="00FB03BE" w:rsidP="00B2432D">
            <w:pPr>
              <w:jc w:val="center"/>
              <w:rPr>
                <w:rFonts w:ascii="Karma" w:hAnsi="Karma" w:cs="Karma"/>
                <w:sz w:val="20"/>
                <w:szCs w:val="20"/>
                <w:lang w:val="en-US"/>
              </w:rPr>
            </w:pPr>
            <w:r w:rsidRPr="00FB03BE">
              <w:rPr>
                <w:rFonts w:ascii="Karma" w:hAnsi="Karma" w:cs="Karma"/>
                <w:sz w:val="20"/>
                <w:szCs w:val="20"/>
                <w:lang w:val="en-US"/>
              </w:rPr>
              <w:t>2,500 €/sqm</w:t>
            </w:r>
          </w:p>
        </w:tc>
      </w:tr>
      <w:tr w:rsidR="00FB03BE" w:rsidRPr="00FB03BE" w14:paraId="027D24A6" w14:textId="77777777" w:rsidTr="00B2432D">
        <w:trPr>
          <w:trHeight w:val="268"/>
        </w:trPr>
        <w:tc>
          <w:tcPr>
            <w:tcW w:w="4949" w:type="dxa"/>
            <w:tcBorders>
              <w:top w:val="nil"/>
              <w:left w:val="nil"/>
              <w:bottom w:val="nil"/>
              <w:right w:val="nil"/>
            </w:tcBorders>
          </w:tcPr>
          <w:p w14:paraId="7045EBF7" w14:textId="77777777" w:rsidR="00FB03BE" w:rsidRPr="00FB03BE" w:rsidRDefault="00FB03BE" w:rsidP="00B2432D">
            <w:pPr>
              <w:jc w:val="center"/>
              <w:rPr>
                <w:rFonts w:ascii="Karma" w:hAnsi="Karma" w:cs="Karma"/>
                <w:sz w:val="20"/>
                <w:szCs w:val="20"/>
                <w:lang w:val="en-US"/>
              </w:rPr>
            </w:pPr>
            <w:r w:rsidRPr="00FB03BE">
              <w:rPr>
                <w:rFonts w:ascii="Karma" w:hAnsi="Karma" w:cs="Karma"/>
                <w:sz w:val="20"/>
                <w:szCs w:val="20"/>
                <w:lang w:val="en-US"/>
              </w:rPr>
              <w:t>R off</w:t>
            </w:r>
          </w:p>
        </w:tc>
        <w:tc>
          <w:tcPr>
            <w:tcW w:w="4949" w:type="dxa"/>
            <w:tcBorders>
              <w:top w:val="nil"/>
              <w:left w:val="nil"/>
              <w:bottom w:val="nil"/>
              <w:right w:val="nil"/>
            </w:tcBorders>
          </w:tcPr>
          <w:p w14:paraId="457A5E36" w14:textId="77777777" w:rsidR="00FB03BE" w:rsidRPr="00FB03BE" w:rsidRDefault="00FB03BE" w:rsidP="00B2432D">
            <w:pPr>
              <w:jc w:val="center"/>
              <w:rPr>
                <w:rFonts w:ascii="Karma" w:hAnsi="Karma" w:cs="Karma"/>
                <w:sz w:val="20"/>
                <w:szCs w:val="20"/>
                <w:lang w:val="en-US"/>
              </w:rPr>
            </w:pPr>
            <w:r w:rsidRPr="00FB03BE">
              <w:rPr>
                <w:rFonts w:ascii="Karma" w:hAnsi="Karma" w:cs="Karma"/>
                <w:sz w:val="20"/>
                <w:szCs w:val="20"/>
                <w:lang w:val="en-US"/>
              </w:rPr>
              <w:t>2,000 €/sqm</w:t>
            </w:r>
          </w:p>
        </w:tc>
      </w:tr>
      <w:tr w:rsidR="00FB03BE" w:rsidRPr="00FB03BE" w14:paraId="32D85394" w14:textId="77777777" w:rsidTr="00B2432D">
        <w:trPr>
          <w:trHeight w:val="268"/>
        </w:trPr>
        <w:tc>
          <w:tcPr>
            <w:tcW w:w="4949" w:type="dxa"/>
            <w:tcBorders>
              <w:top w:val="nil"/>
              <w:left w:val="nil"/>
              <w:right w:val="nil"/>
            </w:tcBorders>
          </w:tcPr>
          <w:p w14:paraId="15F39E6B" w14:textId="77777777" w:rsidR="00FB03BE" w:rsidRPr="00FB03BE" w:rsidRDefault="00FB03BE" w:rsidP="00B2432D">
            <w:pPr>
              <w:jc w:val="center"/>
              <w:rPr>
                <w:rFonts w:ascii="Karma" w:hAnsi="Karma" w:cs="Karma"/>
                <w:sz w:val="20"/>
                <w:szCs w:val="20"/>
                <w:lang w:val="en-US"/>
              </w:rPr>
            </w:pPr>
            <w:r w:rsidRPr="00FB03BE">
              <w:rPr>
                <w:rFonts w:ascii="Karma" w:hAnsi="Karma" w:cs="Karma"/>
                <w:sz w:val="20"/>
                <w:szCs w:val="20"/>
                <w:lang w:val="en-US"/>
              </w:rPr>
              <w:t>R p</w:t>
            </w:r>
          </w:p>
        </w:tc>
        <w:tc>
          <w:tcPr>
            <w:tcW w:w="4949" w:type="dxa"/>
            <w:tcBorders>
              <w:top w:val="nil"/>
              <w:left w:val="nil"/>
              <w:right w:val="nil"/>
            </w:tcBorders>
          </w:tcPr>
          <w:p w14:paraId="3E11257F" w14:textId="77777777" w:rsidR="00FB03BE" w:rsidRPr="00FB03BE" w:rsidRDefault="00FB03BE" w:rsidP="00B2432D">
            <w:pPr>
              <w:jc w:val="center"/>
              <w:rPr>
                <w:rFonts w:ascii="Karma" w:hAnsi="Karma" w:cs="Karma"/>
                <w:sz w:val="20"/>
                <w:szCs w:val="20"/>
                <w:lang w:val="en-US"/>
              </w:rPr>
            </w:pPr>
            <w:r w:rsidRPr="00FB03BE">
              <w:rPr>
                <w:rFonts w:ascii="Karma" w:hAnsi="Karma" w:cs="Karma"/>
                <w:sz w:val="20"/>
                <w:szCs w:val="20"/>
                <w:lang w:val="en-US"/>
              </w:rPr>
              <w:t>1,000 €/sqm</w:t>
            </w:r>
          </w:p>
        </w:tc>
      </w:tr>
    </w:tbl>
    <w:p w14:paraId="44A76B91" w14:textId="77777777" w:rsidR="00342A49" w:rsidRDefault="00342A49"/>
    <w:p w14:paraId="19BCBE45" w14:textId="77777777" w:rsidR="00E04335" w:rsidRPr="00E04335" w:rsidRDefault="00E04335" w:rsidP="00E04335">
      <w:pPr>
        <w:spacing w:after="240"/>
        <w:jc w:val="both"/>
        <w:rPr>
          <w:rFonts w:ascii="Karma" w:hAnsi="Karma" w:cs="Karma"/>
          <w:b/>
          <w:bCs/>
          <w:sz w:val="21"/>
          <w:szCs w:val="21"/>
          <w:lang w:val="en-US"/>
        </w:rPr>
      </w:pPr>
      <w:r w:rsidRPr="00E04335">
        <w:rPr>
          <w:rFonts w:ascii="Karma" w:hAnsi="Karma" w:cs="Karma"/>
          <w:b/>
          <w:bCs/>
          <w:sz w:val="21"/>
          <w:szCs w:val="21"/>
          <w:lang w:val="en-US"/>
        </w:rPr>
        <w:t xml:space="preserve">4.1 Variables </w:t>
      </w:r>
    </w:p>
    <w:p w14:paraId="78DC249F" w14:textId="3D56E368" w:rsidR="00E04335" w:rsidRDefault="00E04335" w:rsidP="00E04335">
      <w:pPr>
        <w:jc w:val="both"/>
        <w:rPr>
          <w:rFonts w:ascii="Karma" w:hAnsi="Karma" w:cs="Karma"/>
          <w:sz w:val="21"/>
          <w:szCs w:val="21"/>
          <w:lang w:val="en-US"/>
        </w:rPr>
      </w:pPr>
      <w:r w:rsidRPr="00E04335">
        <w:rPr>
          <w:rFonts w:ascii="Karma" w:hAnsi="Karma" w:cs="Karma"/>
          <w:sz w:val="21"/>
          <w:szCs w:val="21"/>
          <w:lang w:val="en-US"/>
        </w:rPr>
        <w:t>The variables of the model are 4 and represent the main urban parameters that affect both the morphological characteristics, or the land use lay, and the financial structure of the examined variant</w:t>
      </w:r>
      <w:r w:rsidR="00D7194D">
        <w:rPr>
          <w:rFonts w:ascii="Karma" w:hAnsi="Karma" w:cs="Karma"/>
          <w:sz w:val="21"/>
          <w:szCs w:val="21"/>
          <w:lang w:val="en-US"/>
        </w:rPr>
        <w:t xml:space="preserve"> (as shown in </w:t>
      </w:r>
      <w:r w:rsidR="0023517D">
        <w:rPr>
          <w:rFonts w:ascii="Karma" w:hAnsi="Karma" w:cs="Karma"/>
          <w:sz w:val="21"/>
          <w:szCs w:val="21"/>
          <w:lang w:val="en-US"/>
        </w:rPr>
        <w:t>F</w:t>
      </w:r>
      <w:r w:rsidR="00D7194D">
        <w:rPr>
          <w:rFonts w:ascii="Karma" w:hAnsi="Karma" w:cs="Karma"/>
          <w:sz w:val="21"/>
          <w:szCs w:val="21"/>
          <w:lang w:val="en-US"/>
        </w:rPr>
        <w:t>igure A1</w:t>
      </w:r>
      <w:r w:rsidR="0023517D">
        <w:rPr>
          <w:rFonts w:ascii="Karma" w:hAnsi="Karma" w:cs="Karma"/>
          <w:sz w:val="21"/>
          <w:szCs w:val="21"/>
          <w:lang w:val="en-US"/>
        </w:rPr>
        <w:t xml:space="preserve"> in Appendix</w:t>
      </w:r>
      <w:r w:rsidR="00D7194D">
        <w:rPr>
          <w:rFonts w:ascii="Karma" w:hAnsi="Karma" w:cs="Karma"/>
          <w:sz w:val="21"/>
          <w:szCs w:val="21"/>
          <w:lang w:val="en-US"/>
        </w:rPr>
        <w:t>)</w:t>
      </w:r>
      <w:r>
        <w:rPr>
          <w:rFonts w:ascii="Karma" w:hAnsi="Karma" w:cs="Karma"/>
          <w:sz w:val="21"/>
          <w:szCs w:val="21"/>
          <w:lang w:val="en-US"/>
        </w:rPr>
        <w:t>.</w:t>
      </w:r>
    </w:p>
    <w:p w14:paraId="0B416B6E" w14:textId="77777777" w:rsidR="00E04335" w:rsidRDefault="00E04335" w:rsidP="00E04335">
      <w:pPr>
        <w:jc w:val="both"/>
        <w:rPr>
          <w:rFonts w:ascii="Karma" w:hAnsi="Karma" w:cs="Karma"/>
          <w:sz w:val="21"/>
          <w:szCs w:val="21"/>
          <w:lang w:val="en-US"/>
        </w:rPr>
      </w:pPr>
    </w:p>
    <w:p w14:paraId="47305E88" w14:textId="315C318C" w:rsidR="00E04335" w:rsidRPr="00E04335" w:rsidRDefault="00E04335" w:rsidP="00E04335">
      <w:pPr>
        <w:spacing w:after="240"/>
        <w:jc w:val="both"/>
        <w:rPr>
          <w:rFonts w:ascii="Karma" w:hAnsi="Karma" w:cs="Karma"/>
          <w:i/>
          <w:iCs/>
          <w:sz w:val="21"/>
          <w:szCs w:val="21"/>
          <w:lang w:val="en-US"/>
        </w:rPr>
      </w:pPr>
      <w:r w:rsidRPr="00E04335">
        <w:rPr>
          <w:rFonts w:ascii="Karma" w:hAnsi="Karma" w:cs="Karma"/>
          <w:i/>
          <w:iCs/>
          <w:sz w:val="21"/>
          <w:szCs w:val="21"/>
          <w:lang w:val="en-US"/>
        </w:rPr>
        <w:t>6.3.1  Variations that the discount rate</w:t>
      </w:r>
    </w:p>
    <w:p w14:paraId="614B0DD5" w14:textId="4B5043E7" w:rsidR="00342A49" w:rsidRPr="00FA1F2E" w:rsidRDefault="00E04335" w:rsidP="00FA1F2E">
      <w:pPr>
        <w:jc w:val="both"/>
        <w:rPr>
          <w:rFonts w:ascii="Karma" w:hAnsi="Karma" w:cs="Karma"/>
          <w:sz w:val="21"/>
          <w:szCs w:val="21"/>
          <w:lang w:val="en-US"/>
        </w:rPr>
      </w:pPr>
      <w:r w:rsidRPr="00E04335">
        <w:rPr>
          <w:rFonts w:ascii="Karma" w:hAnsi="Karma" w:cs="Karma"/>
          <w:sz w:val="21"/>
          <w:szCs w:val="21"/>
          <w:lang w:val="en-US"/>
        </w:rPr>
        <w:t>The results returned by the model for the variables considered allow to determine also the change induced by different values of discount rate and percentage of EUC – specifically c values – on other significant</w:t>
      </w:r>
    </w:p>
    <w:p w14:paraId="4F1869B3" w14:textId="77777777" w:rsidR="00342A49" w:rsidRDefault="00342A49"/>
    <w:tbl>
      <w:tblPr>
        <w:tblStyle w:val="TableGrid"/>
        <w:tblW w:w="978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356"/>
        <w:gridCol w:w="431"/>
      </w:tblGrid>
      <w:tr w:rsidR="00DB0740" w:rsidRPr="005F41AD" w14:paraId="4E1D21AC" w14:textId="77777777" w:rsidTr="00FA1F2E">
        <w:trPr>
          <w:trHeight w:val="1174"/>
          <w:jc w:val="center"/>
        </w:trPr>
        <w:tc>
          <w:tcPr>
            <w:tcW w:w="9356" w:type="dxa"/>
          </w:tcPr>
          <w:p w14:paraId="64F029F1" w14:textId="77777777" w:rsidR="00DB0740" w:rsidRDefault="00DB0740" w:rsidP="00B2432D">
            <w:pPr>
              <w:rPr>
                <w:rFonts w:ascii="Oxygen" w:hAnsi="Oxygen" w:cs="Catamaran"/>
                <w:sz w:val="20"/>
                <w:szCs w:val="20"/>
                <w:lang w:val="en-US"/>
              </w:rPr>
            </w:pPr>
          </w:p>
          <w:p w14:paraId="6C85EB60" w14:textId="35959A5C" w:rsidR="00DB0740" w:rsidRPr="005F41AD" w:rsidRDefault="00000000" w:rsidP="00B2432D">
            <w:pPr>
              <w:rPr>
                <w:rFonts w:ascii="Catamaran" w:hAnsi="Catamaran" w:cs="Catamaran"/>
                <w:sz w:val="20"/>
                <w:szCs w:val="20"/>
                <w:lang w:val="en-US"/>
              </w:rPr>
            </w:pPr>
            <m:oMathPara>
              <m:oMath>
                <m:sSup>
                  <m:sSupPr>
                    <m:ctrlPr>
                      <w:rPr>
                        <w:rFonts w:ascii="Cambria Math" w:hAnsi="Cambria Math" w:cs="Karma"/>
                        <w:sz w:val="21"/>
                        <w:szCs w:val="21"/>
                      </w:rPr>
                    </m:ctrlPr>
                  </m:sSupPr>
                  <m:e>
                    <m:d>
                      <m:dPr>
                        <m:ctrlPr>
                          <w:rPr>
                            <w:rFonts w:ascii="Cambria Math" w:hAnsi="Cambria Math" w:cs="Karma"/>
                            <w:sz w:val="21"/>
                            <w:szCs w:val="21"/>
                          </w:rPr>
                        </m:ctrlPr>
                      </m:dPr>
                      <m:e>
                        <m:r>
                          <m:rPr>
                            <m:nor/>
                          </m:rPr>
                          <w:rPr>
                            <w:rFonts w:ascii="Karma" w:hAnsi="Karma" w:cs="Karma"/>
                            <w:sz w:val="21"/>
                            <w:szCs w:val="21"/>
                          </w:rPr>
                          <m:t>1+x</m:t>
                        </m:r>
                      </m:e>
                    </m:d>
                  </m:e>
                  <m:sup>
                    <m:r>
                      <m:rPr>
                        <m:nor/>
                      </m:rPr>
                      <w:rPr>
                        <w:rFonts w:ascii="Karma" w:hAnsi="Karma" w:cs="Karma"/>
                        <w:sz w:val="21"/>
                        <w:szCs w:val="21"/>
                      </w:rPr>
                      <m:t>n</m:t>
                    </m:r>
                  </m:sup>
                </m:sSup>
                <m:r>
                  <m:rPr>
                    <m:nor/>
                  </m:rPr>
                  <w:rPr>
                    <w:rFonts w:ascii="Karma" w:hAnsi="Karma" w:cs="Karma"/>
                    <w:sz w:val="21"/>
                    <w:szCs w:val="21"/>
                  </w:rPr>
                  <m:t>=1+</m:t>
                </m:r>
                <m:f>
                  <m:fPr>
                    <m:ctrlPr>
                      <w:rPr>
                        <w:rFonts w:ascii="Cambria Math" w:hAnsi="Cambria Math" w:cs="Karma"/>
                        <w:sz w:val="21"/>
                        <w:szCs w:val="21"/>
                      </w:rPr>
                    </m:ctrlPr>
                  </m:fPr>
                  <m:num>
                    <m:r>
                      <m:rPr>
                        <m:nor/>
                      </m:rPr>
                      <w:rPr>
                        <w:rFonts w:ascii="Karma" w:hAnsi="Karma" w:cs="Karma"/>
                        <w:sz w:val="21"/>
                        <w:szCs w:val="21"/>
                      </w:rPr>
                      <m:t>nx</m:t>
                    </m:r>
                  </m:num>
                  <m:den>
                    <m:r>
                      <m:rPr>
                        <m:nor/>
                      </m:rPr>
                      <w:rPr>
                        <w:rFonts w:ascii="Karma" w:hAnsi="Karma" w:cs="Karma"/>
                        <w:sz w:val="21"/>
                        <w:szCs w:val="21"/>
                      </w:rPr>
                      <m:t>1!</m:t>
                    </m:r>
                  </m:den>
                </m:f>
                <m:r>
                  <m:rPr>
                    <m:nor/>
                  </m:rPr>
                  <w:rPr>
                    <w:rFonts w:ascii="Karma" w:hAnsi="Karma" w:cs="Karma"/>
                    <w:sz w:val="21"/>
                    <w:szCs w:val="21"/>
                  </w:rPr>
                  <m:t>+</m:t>
                </m:r>
                <m:f>
                  <m:fPr>
                    <m:ctrlPr>
                      <w:rPr>
                        <w:rFonts w:ascii="Cambria Math" w:hAnsi="Cambria Math" w:cs="Karma"/>
                        <w:sz w:val="21"/>
                        <w:szCs w:val="21"/>
                      </w:rPr>
                    </m:ctrlPr>
                  </m:fPr>
                  <m:num>
                    <m:r>
                      <m:rPr>
                        <m:nor/>
                      </m:rPr>
                      <w:rPr>
                        <w:rFonts w:ascii="Karma" w:hAnsi="Karma" w:cs="Karma"/>
                        <w:sz w:val="21"/>
                        <w:szCs w:val="21"/>
                      </w:rPr>
                      <m:t>n</m:t>
                    </m:r>
                    <m:d>
                      <m:dPr>
                        <m:ctrlPr>
                          <w:rPr>
                            <w:rFonts w:ascii="Cambria Math" w:hAnsi="Cambria Math" w:cs="Karma"/>
                            <w:sz w:val="21"/>
                            <w:szCs w:val="21"/>
                          </w:rPr>
                        </m:ctrlPr>
                      </m:dPr>
                      <m:e>
                        <m:r>
                          <m:rPr>
                            <m:nor/>
                          </m:rPr>
                          <w:rPr>
                            <w:rFonts w:ascii="Karma" w:hAnsi="Karma" w:cs="Karma"/>
                            <w:sz w:val="21"/>
                            <w:szCs w:val="21"/>
                          </w:rPr>
                          <m:t>n-1</m:t>
                        </m:r>
                      </m:e>
                    </m:d>
                    <m:sSup>
                      <m:sSupPr>
                        <m:ctrlPr>
                          <w:rPr>
                            <w:rFonts w:ascii="Cambria Math" w:hAnsi="Cambria Math" w:cs="Karma"/>
                            <w:sz w:val="21"/>
                            <w:szCs w:val="21"/>
                          </w:rPr>
                        </m:ctrlPr>
                      </m:sSupPr>
                      <m:e>
                        <m:r>
                          <m:rPr>
                            <m:nor/>
                          </m:rPr>
                          <w:rPr>
                            <w:rFonts w:ascii="Karma" w:hAnsi="Karma" w:cs="Karma"/>
                            <w:sz w:val="21"/>
                            <w:szCs w:val="21"/>
                          </w:rPr>
                          <m:t>x</m:t>
                        </m:r>
                      </m:e>
                      <m:sup>
                        <m:r>
                          <m:rPr>
                            <m:nor/>
                          </m:rPr>
                          <w:rPr>
                            <w:rFonts w:ascii="Karma" w:hAnsi="Karma" w:cs="Karma"/>
                            <w:sz w:val="21"/>
                            <w:szCs w:val="21"/>
                          </w:rPr>
                          <m:t>2</m:t>
                        </m:r>
                      </m:sup>
                    </m:sSup>
                  </m:num>
                  <m:den>
                    <m:r>
                      <m:rPr>
                        <m:nor/>
                      </m:rPr>
                      <w:rPr>
                        <w:rFonts w:ascii="Karma" w:hAnsi="Karma" w:cs="Karma"/>
                        <w:sz w:val="21"/>
                        <w:szCs w:val="21"/>
                      </w:rPr>
                      <m:t>2!</m:t>
                    </m:r>
                  </m:den>
                </m:f>
                <m:r>
                  <m:rPr>
                    <m:nor/>
                  </m:rPr>
                  <w:rPr>
                    <w:rFonts w:ascii="Karma" w:hAnsi="Karma" w:cs="Karma"/>
                    <w:sz w:val="21"/>
                    <w:szCs w:val="21"/>
                  </w:rPr>
                  <m:t>+…</m:t>
                </m:r>
              </m:oMath>
            </m:oMathPara>
          </w:p>
        </w:tc>
        <w:tc>
          <w:tcPr>
            <w:tcW w:w="431" w:type="dxa"/>
          </w:tcPr>
          <w:p w14:paraId="68A3A022" w14:textId="77777777" w:rsidR="00DB0740" w:rsidRDefault="00DB0740" w:rsidP="00B2432D">
            <w:pPr>
              <w:jc w:val="both"/>
              <w:rPr>
                <w:rFonts w:ascii="Catamaran" w:hAnsi="Catamaran" w:cs="Catamaran"/>
                <w:sz w:val="20"/>
                <w:szCs w:val="20"/>
                <w:lang w:val="en-US"/>
              </w:rPr>
            </w:pPr>
          </w:p>
          <w:p w14:paraId="5CFC1777" w14:textId="328BA5B1" w:rsidR="00DB0740" w:rsidRPr="00DB0740" w:rsidRDefault="00DB0740" w:rsidP="00DB0740">
            <w:pPr>
              <w:jc w:val="right"/>
              <w:rPr>
                <w:rFonts w:ascii="Karma" w:hAnsi="Karma" w:cs="Karma"/>
                <w:sz w:val="20"/>
                <w:szCs w:val="20"/>
                <w:lang w:val="en-US"/>
              </w:rPr>
            </w:pPr>
            <w:r w:rsidRPr="00DB0740">
              <w:rPr>
                <w:rFonts w:ascii="Karma" w:hAnsi="Karma" w:cs="Karma"/>
                <w:sz w:val="21"/>
                <w:szCs w:val="21"/>
                <w:lang w:val="en-US"/>
              </w:rPr>
              <w:t>(1)</w:t>
            </w:r>
          </w:p>
        </w:tc>
      </w:tr>
    </w:tbl>
    <w:p w14:paraId="282BEA63" w14:textId="77777777" w:rsidR="00342A49" w:rsidRDefault="00342A49"/>
    <w:p w14:paraId="1929A346" w14:textId="63F5D46F" w:rsidR="00342A49" w:rsidRPr="00DB0740" w:rsidRDefault="00DB0740">
      <w:pPr>
        <w:rPr>
          <w:rFonts w:ascii="Karma" w:hAnsi="Karma" w:cs="Karma"/>
          <w:sz w:val="21"/>
          <w:szCs w:val="21"/>
          <w:lang w:val="en-US"/>
        </w:rPr>
      </w:pPr>
      <w:r w:rsidRPr="00DB0740">
        <w:rPr>
          <w:rFonts w:ascii="Karma" w:hAnsi="Karma" w:cs="Karma"/>
          <w:sz w:val="21"/>
          <w:szCs w:val="21"/>
          <w:lang w:val="en-US"/>
        </w:rPr>
        <w:t>In detail:</w:t>
      </w:r>
    </w:p>
    <w:p w14:paraId="7C9007B8" w14:textId="3613C6DE" w:rsidR="00DB0740" w:rsidRPr="00DB0740" w:rsidRDefault="00DB0740" w:rsidP="00DB0740">
      <w:pPr>
        <w:pStyle w:val="ListParagraph"/>
        <w:numPr>
          <w:ilvl w:val="0"/>
          <w:numId w:val="1"/>
        </w:numPr>
        <w:rPr>
          <w:rFonts w:ascii="Karma" w:hAnsi="Karma" w:cs="Karma"/>
          <w:sz w:val="21"/>
          <w:szCs w:val="21"/>
        </w:rPr>
      </w:pPr>
      <w:r w:rsidRPr="00DB0740">
        <w:rPr>
          <w:rFonts w:ascii="Karma" w:hAnsi="Karma" w:cs="Karma"/>
          <w:sz w:val="21"/>
          <w:szCs w:val="21"/>
        </w:rPr>
        <w:t>Eq. 12: the construction cost</w:t>
      </w:r>
      <w:r w:rsidRPr="00DB0740">
        <w:rPr>
          <w:rFonts w:ascii="Karma" w:hAnsi="Karma" w:cs="Karma"/>
          <w:sz w:val="21"/>
          <w:szCs w:val="21"/>
          <w:lang w:val="it-IT"/>
        </w:rPr>
        <w:t>;</w:t>
      </w:r>
    </w:p>
    <w:p w14:paraId="1C6D848F" w14:textId="53DF2EA8" w:rsidR="00DB0740" w:rsidRPr="00DB0740" w:rsidRDefault="00DB0740" w:rsidP="00DB0740">
      <w:pPr>
        <w:pStyle w:val="ListParagraph"/>
        <w:numPr>
          <w:ilvl w:val="0"/>
          <w:numId w:val="1"/>
        </w:numPr>
        <w:rPr>
          <w:rFonts w:ascii="Karma" w:hAnsi="Karma" w:cs="Karma"/>
          <w:sz w:val="21"/>
          <w:szCs w:val="21"/>
        </w:rPr>
      </w:pPr>
      <w:r w:rsidRPr="00DB0740">
        <w:rPr>
          <w:rFonts w:ascii="Karma" w:hAnsi="Karma" w:cs="Karma"/>
          <w:sz w:val="21"/>
          <w:szCs w:val="21"/>
        </w:rPr>
        <w:t>Eq. 13 and 14: the car parking</w:t>
      </w:r>
      <w:r w:rsidRPr="00DB0740">
        <w:rPr>
          <w:rFonts w:ascii="Karma" w:hAnsi="Karma" w:cs="Karma"/>
          <w:sz w:val="21"/>
          <w:szCs w:val="21"/>
          <w:lang w:val="en-US"/>
        </w:rPr>
        <w:t>;</w:t>
      </w:r>
    </w:p>
    <w:p w14:paraId="6063D552" w14:textId="33356822" w:rsidR="00DB0740" w:rsidRPr="00DB0740" w:rsidRDefault="00DB0740" w:rsidP="00DB0740">
      <w:pPr>
        <w:pStyle w:val="ListParagraph"/>
        <w:numPr>
          <w:ilvl w:val="0"/>
          <w:numId w:val="1"/>
        </w:numPr>
        <w:rPr>
          <w:rFonts w:ascii="Karma" w:hAnsi="Karma" w:cs="Karma"/>
          <w:sz w:val="21"/>
          <w:szCs w:val="21"/>
        </w:rPr>
      </w:pPr>
      <w:r w:rsidRPr="00DB0740">
        <w:rPr>
          <w:rFonts w:ascii="Karma" w:hAnsi="Karma" w:cs="Karma"/>
          <w:sz w:val="21"/>
          <w:szCs w:val="21"/>
        </w:rPr>
        <w:t>Eq. 15: primary,</w:t>
      </w:r>
    </w:p>
    <w:p w14:paraId="51F7581C" w14:textId="77777777" w:rsidR="00DB0740" w:rsidRPr="00DB0740" w:rsidRDefault="00DB0740" w:rsidP="00DB0740">
      <w:pPr>
        <w:rPr>
          <w:rFonts w:ascii="Karma" w:hAnsi="Karma" w:cs="Karma"/>
          <w:sz w:val="21"/>
          <w:szCs w:val="21"/>
        </w:rPr>
      </w:pPr>
    </w:p>
    <w:p w14:paraId="2BE6CC9C" w14:textId="77777777" w:rsidR="00565D1E" w:rsidRPr="00565D1E" w:rsidRDefault="00565D1E" w:rsidP="00565D1E">
      <w:pPr>
        <w:rPr>
          <w:rFonts w:ascii="Karma" w:hAnsi="Karma" w:cs="Karma"/>
          <w:sz w:val="21"/>
          <w:szCs w:val="21"/>
          <w:lang w:val="en-US"/>
        </w:rPr>
      </w:pPr>
      <w:r w:rsidRPr="00565D1E">
        <w:rPr>
          <w:rFonts w:ascii="Karma" w:hAnsi="Karma" w:cs="Karma"/>
          <w:sz w:val="21"/>
          <w:szCs w:val="21"/>
          <w:lang w:val="en-US"/>
        </w:rPr>
        <w:t>In detail:</w:t>
      </w:r>
    </w:p>
    <w:p w14:paraId="3644371E" w14:textId="4D86BCC9" w:rsidR="00DB0740" w:rsidRPr="00DB0740" w:rsidRDefault="00DB0740" w:rsidP="00DB0740">
      <w:pPr>
        <w:pStyle w:val="ListParagraph"/>
        <w:numPr>
          <w:ilvl w:val="0"/>
          <w:numId w:val="2"/>
        </w:numPr>
        <w:rPr>
          <w:rFonts w:ascii="Karma" w:hAnsi="Karma" w:cs="Karma"/>
          <w:sz w:val="21"/>
          <w:szCs w:val="21"/>
          <w:lang w:val="it-IT"/>
        </w:rPr>
      </w:pPr>
      <w:proofErr w:type="spellStart"/>
      <w:r w:rsidRPr="00DB0740">
        <w:rPr>
          <w:rFonts w:ascii="Karma" w:hAnsi="Karma" w:cs="Karma"/>
          <w:sz w:val="21"/>
          <w:szCs w:val="21"/>
          <w:lang w:val="it-IT"/>
        </w:rPr>
        <w:t>Eq</w:t>
      </w:r>
      <w:proofErr w:type="spellEnd"/>
      <w:r w:rsidRPr="00DB0740">
        <w:rPr>
          <w:rFonts w:ascii="Karma" w:hAnsi="Karma" w:cs="Karma"/>
          <w:sz w:val="21"/>
          <w:szCs w:val="21"/>
          <w:lang w:val="it-IT"/>
        </w:rPr>
        <w:t>. 16: tech;</w:t>
      </w:r>
    </w:p>
    <w:p w14:paraId="230FDF71" w14:textId="47254254" w:rsidR="00DB0740" w:rsidRPr="00DB0740" w:rsidRDefault="00DB0740" w:rsidP="00DB0740">
      <w:pPr>
        <w:pStyle w:val="ListParagraph"/>
        <w:numPr>
          <w:ilvl w:val="0"/>
          <w:numId w:val="2"/>
        </w:numPr>
        <w:rPr>
          <w:rFonts w:ascii="Karma" w:hAnsi="Karma" w:cs="Karma"/>
          <w:sz w:val="21"/>
          <w:szCs w:val="21"/>
          <w:lang w:val="it-IT"/>
        </w:rPr>
      </w:pPr>
      <w:proofErr w:type="spellStart"/>
      <w:r w:rsidRPr="00DB0740">
        <w:rPr>
          <w:rFonts w:ascii="Karma" w:hAnsi="Karma" w:cs="Karma"/>
          <w:sz w:val="21"/>
          <w:szCs w:val="21"/>
          <w:lang w:val="it-IT"/>
        </w:rPr>
        <w:t>Eq</w:t>
      </w:r>
      <w:proofErr w:type="spellEnd"/>
      <w:r w:rsidRPr="00DB0740">
        <w:rPr>
          <w:rFonts w:ascii="Karma" w:hAnsi="Karma" w:cs="Karma"/>
          <w:sz w:val="21"/>
          <w:szCs w:val="21"/>
          <w:lang w:val="it-IT"/>
        </w:rPr>
        <w:t xml:space="preserve">. 17: overheads; </w:t>
      </w:r>
    </w:p>
    <w:p w14:paraId="76F2F4CC" w14:textId="77777777" w:rsidR="00DB0740" w:rsidRPr="00DB0740" w:rsidRDefault="00DB0740" w:rsidP="00DB0740">
      <w:pPr>
        <w:rPr>
          <w:rFonts w:ascii="Karma" w:hAnsi="Karma" w:cs="Karma"/>
          <w:lang w:val="it-IT"/>
        </w:rPr>
      </w:pPr>
    </w:p>
    <w:p w14:paraId="01CF296B" w14:textId="77777777" w:rsidR="00342A49" w:rsidRDefault="00342A49"/>
    <w:p w14:paraId="4AB32642" w14:textId="7060E597" w:rsidR="009702FF" w:rsidRPr="00E04335" w:rsidRDefault="009702FF" w:rsidP="009702FF">
      <w:pPr>
        <w:spacing w:after="240"/>
        <w:jc w:val="both"/>
        <w:rPr>
          <w:rFonts w:ascii="Karma" w:hAnsi="Karma" w:cs="Karma"/>
          <w:b/>
          <w:bCs/>
          <w:sz w:val="21"/>
          <w:szCs w:val="21"/>
          <w:lang w:val="en-US"/>
        </w:rPr>
      </w:pPr>
      <w:r>
        <w:rPr>
          <w:rFonts w:ascii="Karma" w:hAnsi="Karma" w:cs="Karma"/>
          <w:b/>
          <w:bCs/>
          <w:sz w:val="21"/>
          <w:szCs w:val="21"/>
          <w:lang w:val="en-US"/>
        </w:rPr>
        <w:t xml:space="preserve">Acknowledgement </w:t>
      </w:r>
    </w:p>
    <w:p w14:paraId="07F7DBAD" w14:textId="56D9F3D6" w:rsidR="009702FF" w:rsidRDefault="009702FF">
      <w:r w:rsidRPr="009702FF">
        <w:rPr>
          <w:rFonts w:ascii="Karma" w:hAnsi="Karma" w:cs="Karma"/>
          <w:sz w:val="21"/>
          <w:szCs w:val="21"/>
          <w:lang w:val="en-US"/>
        </w:rPr>
        <w:t>The article is the result of research activities conducted with funding from the inter</w:t>
      </w:r>
      <w:r>
        <w:rPr>
          <w:rFonts w:ascii="Karma" w:hAnsi="Karma" w:cs="Karma"/>
          <w:sz w:val="21"/>
          <w:szCs w:val="21"/>
          <w:lang w:val="en-US"/>
        </w:rPr>
        <w:t xml:space="preserve"> </w:t>
      </w:r>
      <w:r w:rsidRPr="009702FF">
        <w:rPr>
          <w:rFonts w:ascii="Karma" w:hAnsi="Karma" w:cs="Karma"/>
          <w:sz w:val="21"/>
          <w:szCs w:val="21"/>
          <w:lang w:val="en-US"/>
        </w:rPr>
        <w:t>University Centre for the Prediction  and</w:t>
      </w:r>
      <w:r>
        <w:rPr>
          <w:rFonts w:ascii="Karma" w:hAnsi="Karma" w:cs="Karma"/>
          <w:sz w:val="21"/>
          <w:szCs w:val="21"/>
          <w:lang w:val="en-US"/>
        </w:rPr>
        <w:t xml:space="preserve"> </w:t>
      </w:r>
      <w:r w:rsidRPr="009702FF">
        <w:rPr>
          <w:rFonts w:ascii="Karma" w:hAnsi="Karma" w:cs="Karma"/>
          <w:sz w:val="21"/>
          <w:szCs w:val="21"/>
          <w:lang w:val="en-US"/>
        </w:rPr>
        <w:t>Prevention of Major Hazards (C.U.G.RI), established by the Rectors of the University of Salerno and the University of Naples ‘Federico II’.</w:t>
      </w:r>
    </w:p>
    <w:p w14:paraId="0896E5AC" w14:textId="6450D76E" w:rsidR="009702FF" w:rsidRPr="009702FF" w:rsidRDefault="009702FF" w:rsidP="009702FF">
      <w:pPr>
        <w:spacing w:before="240" w:after="240"/>
        <w:jc w:val="both"/>
        <w:rPr>
          <w:rFonts w:ascii="Karma" w:hAnsi="Karma" w:cs="Karma"/>
          <w:b/>
          <w:bCs/>
          <w:sz w:val="21"/>
          <w:szCs w:val="21"/>
          <w:lang w:val="en-US"/>
        </w:rPr>
      </w:pPr>
      <w:r w:rsidRPr="009702FF">
        <w:rPr>
          <w:rFonts w:ascii="Karma" w:hAnsi="Karma" w:cs="Karma"/>
          <w:b/>
          <w:bCs/>
          <w:sz w:val="21"/>
          <w:szCs w:val="21"/>
          <w:lang w:val="en-US"/>
        </w:rPr>
        <w:t xml:space="preserve">Author contributions </w:t>
      </w:r>
    </w:p>
    <w:p w14:paraId="2A86D68A" w14:textId="11E13CC2" w:rsidR="00D7194D" w:rsidRPr="00D7194D" w:rsidRDefault="009702FF" w:rsidP="009702FF">
      <w:pPr>
        <w:spacing w:before="240" w:after="240"/>
        <w:jc w:val="both"/>
        <w:rPr>
          <w:rFonts w:ascii="Karma" w:hAnsi="Karma" w:cs="Karma"/>
          <w:sz w:val="21"/>
          <w:szCs w:val="21"/>
          <w:lang w:val="en-US"/>
        </w:rPr>
      </w:pPr>
      <w:r w:rsidRPr="009702FF">
        <w:rPr>
          <w:rFonts w:ascii="Karma" w:hAnsi="Karma" w:cs="Karma"/>
          <w:sz w:val="21"/>
          <w:szCs w:val="21"/>
          <w:lang w:val="en-US"/>
        </w:rPr>
        <w:t>The present work is to be attributed in equal parts to the three authors.</w:t>
      </w:r>
    </w:p>
    <w:p w14:paraId="305EB8EB" w14:textId="521FE550" w:rsidR="009702FF" w:rsidRPr="00E04335" w:rsidRDefault="009702FF" w:rsidP="009702FF">
      <w:pPr>
        <w:spacing w:before="240" w:after="240"/>
        <w:jc w:val="both"/>
        <w:rPr>
          <w:rFonts w:ascii="Karma" w:hAnsi="Karma" w:cs="Karma"/>
          <w:b/>
          <w:bCs/>
          <w:sz w:val="21"/>
          <w:szCs w:val="21"/>
          <w:lang w:val="en-US"/>
        </w:rPr>
      </w:pPr>
      <w:r>
        <w:rPr>
          <w:rFonts w:ascii="Karma" w:hAnsi="Karma" w:cs="Karma"/>
          <w:b/>
          <w:bCs/>
          <w:sz w:val="21"/>
          <w:szCs w:val="21"/>
          <w:lang w:val="en-US"/>
        </w:rPr>
        <w:t>Bibliography (APA)</w:t>
      </w:r>
    </w:p>
    <w:sdt>
      <w:sdtPr>
        <w:rPr>
          <w:rFonts w:ascii="Karma" w:hAnsi="Karma" w:cs="Karma"/>
          <w:sz w:val="21"/>
          <w:szCs w:val="21"/>
        </w:rPr>
        <w:tag w:val="MENDELEY_BIBLIOGRAPHY"/>
        <w:id w:val="1249537071"/>
        <w:placeholder>
          <w:docPart w:val="DefaultPlaceholder_-1854013440"/>
        </w:placeholder>
      </w:sdtPr>
      <w:sdtContent>
        <w:p w14:paraId="0BC077C7" w14:textId="77777777" w:rsidR="009702FF" w:rsidRPr="009702FF" w:rsidRDefault="009702FF" w:rsidP="009702FF">
          <w:pPr>
            <w:autoSpaceDE w:val="0"/>
            <w:autoSpaceDN w:val="0"/>
            <w:ind w:hanging="480"/>
            <w:jc w:val="both"/>
            <w:divId w:val="381179767"/>
            <w:rPr>
              <w:rFonts w:ascii="Karma" w:hAnsi="Karma" w:cs="Karma"/>
              <w:sz w:val="21"/>
              <w:szCs w:val="21"/>
            </w:rPr>
          </w:pPr>
          <w:r w:rsidRPr="009702FF">
            <w:rPr>
              <w:rFonts w:ascii="Karma" w:hAnsi="Karma" w:cs="Karma"/>
              <w:sz w:val="21"/>
              <w:szCs w:val="21"/>
            </w:rPr>
            <w:t xml:space="preserve">Barfod, M. B., Jensen, A. V., Leleur, S., Barfod, M. B., Jensen, A. V., &amp; Leleur, S. (2011). Examination of Decision Support Systems for Composite CBA and MCDA Assessments of Transport Infrastructure Projects. </w:t>
          </w:r>
          <w:r w:rsidRPr="009702FF">
            <w:rPr>
              <w:rFonts w:ascii="Karma" w:hAnsi="Karma" w:cs="Karma"/>
              <w:i/>
              <w:iCs/>
              <w:sz w:val="21"/>
              <w:szCs w:val="21"/>
            </w:rPr>
            <w:t>Lecture Notes in Economics and Mathematical Systems</w:t>
          </w:r>
          <w:r w:rsidRPr="009702FF">
            <w:rPr>
              <w:rFonts w:ascii="Karma" w:hAnsi="Karma" w:cs="Karma"/>
              <w:sz w:val="21"/>
              <w:szCs w:val="21"/>
            </w:rPr>
            <w:t xml:space="preserve">, </w:t>
          </w:r>
          <w:r w:rsidRPr="009702FF">
            <w:rPr>
              <w:rFonts w:ascii="Karma" w:hAnsi="Karma" w:cs="Karma"/>
              <w:i/>
              <w:iCs/>
              <w:sz w:val="21"/>
              <w:szCs w:val="21"/>
            </w:rPr>
            <w:t>648</w:t>
          </w:r>
          <w:r w:rsidRPr="009702FF">
            <w:rPr>
              <w:rFonts w:ascii="Karma" w:hAnsi="Karma" w:cs="Karma"/>
              <w:sz w:val="21"/>
              <w:szCs w:val="21"/>
            </w:rPr>
            <w:t>, 167–176. https://doi.org/10.1007/978-3-642-19695-9_14</w:t>
          </w:r>
        </w:p>
        <w:p w14:paraId="71BFCFFA" w14:textId="77777777" w:rsidR="009702FF" w:rsidRPr="009702FF" w:rsidRDefault="009702FF" w:rsidP="009702FF">
          <w:pPr>
            <w:autoSpaceDE w:val="0"/>
            <w:autoSpaceDN w:val="0"/>
            <w:ind w:hanging="480"/>
            <w:jc w:val="both"/>
            <w:divId w:val="570232572"/>
            <w:rPr>
              <w:rFonts w:ascii="Karma" w:hAnsi="Karma" w:cs="Karma"/>
              <w:sz w:val="21"/>
              <w:szCs w:val="21"/>
            </w:rPr>
          </w:pPr>
          <w:r w:rsidRPr="009702FF">
            <w:rPr>
              <w:rFonts w:ascii="Karma" w:hAnsi="Karma" w:cs="Karma"/>
              <w:sz w:val="21"/>
              <w:szCs w:val="21"/>
            </w:rPr>
            <w:t xml:space="preserve">Greco, S., Ehrgott, M., &amp; Figueira, J. R. (2016). </w:t>
          </w:r>
          <w:r w:rsidRPr="009702FF">
            <w:rPr>
              <w:rFonts w:ascii="Karma" w:hAnsi="Karma" w:cs="Karma"/>
              <w:i/>
              <w:iCs/>
              <w:sz w:val="21"/>
              <w:szCs w:val="21"/>
            </w:rPr>
            <w:t>Multiple Criteria Decision Analysis</w:t>
          </w:r>
          <w:r w:rsidRPr="009702FF">
            <w:rPr>
              <w:rFonts w:ascii="Karma" w:hAnsi="Karma" w:cs="Karma"/>
              <w:sz w:val="21"/>
              <w:szCs w:val="21"/>
            </w:rPr>
            <w:t xml:space="preserve"> (S. Greco, M. Ehrgott, &amp; J. R. Figueira, Eds.; Vol. 37). Springer New York. https://doi.org/10.1007/978-1-4939-3094-4</w:t>
          </w:r>
        </w:p>
        <w:p w14:paraId="669A9CFC" w14:textId="77777777" w:rsidR="009702FF" w:rsidRPr="009702FF" w:rsidRDefault="009702FF" w:rsidP="009702FF">
          <w:pPr>
            <w:autoSpaceDE w:val="0"/>
            <w:autoSpaceDN w:val="0"/>
            <w:ind w:hanging="480"/>
            <w:jc w:val="both"/>
            <w:divId w:val="1918247343"/>
            <w:rPr>
              <w:rFonts w:ascii="Karma" w:hAnsi="Karma" w:cs="Karma"/>
              <w:sz w:val="21"/>
              <w:szCs w:val="21"/>
            </w:rPr>
          </w:pPr>
          <w:r w:rsidRPr="009702FF">
            <w:rPr>
              <w:rFonts w:ascii="Karma" w:hAnsi="Karma" w:cs="Karma"/>
              <w:sz w:val="21"/>
              <w:szCs w:val="21"/>
            </w:rPr>
            <w:t xml:space="preserve">Krasić, D. (2022). Evaluation of urban transport projects with respect to sustainable mobility. </w:t>
          </w:r>
          <w:r w:rsidRPr="009702FF">
            <w:rPr>
              <w:rFonts w:ascii="Karma" w:hAnsi="Karma" w:cs="Karma"/>
              <w:i/>
              <w:iCs/>
              <w:sz w:val="21"/>
              <w:szCs w:val="21"/>
            </w:rPr>
            <w:t>Road and Rail Infrastructure VII</w:t>
          </w:r>
          <w:r w:rsidRPr="009702FF">
            <w:rPr>
              <w:rFonts w:ascii="Karma" w:hAnsi="Karma" w:cs="Karma"/>
              <w:sz w:val="21"/>
              <w:szCs w:val="21"/>
            </w:rPr>
            <w:t xml:space="preserve">, </w:t>
          </w:r>
          <w:r w:rsidRPr="009702FF">
            <w:rPr>
              <w:rFonts w:ascii="Karma" w:hAnsi="Karma" w:cs="Karma"/>
              <w:i/>
              <w:iCs/>
              <w:sz w:val="21"/>
              <w:szCs w:val="21"/>
            </w:rPr>
            <w:t>7</w:t>
          </w:r>
          <w:r w:rsidRPr="009702FF">
            <w:rPr>
              <w:rFonts w:ascii="Karma" w:hAnsi="Karma" w:cs="Karma"/>
              <w:sz w:val="21"/>
              <w:szCs w:val="21"/>
            </w:rPr>
            <w:t>, 643–650. https://doi.org/10.5592/CO/CETRA.2022.1367</w:t>
          </w:r>
        </w:p>
        <w:p w14:paraId="5485506E" w14:textId="4409CF49" w:rsidR="009702FF" w:rsidRPr="009702FF" w:rsidRDefault="009702FF" w:rsidP="009702FF">
          <w:pPr>
            <w:autoSpaceDE w:val="0"/>
            <w:autoSpaceDN w:val="0"/>
            <w:ind w:hanging="480"/>
            <w:jc w:val="both"/>
            <w:divId w:val="1534877584"/>
            <w:rPr>
              <w:rFonts w:ascii="Karma" w:hAnsi="Karma" w:cs="Karma"/>
              <w:sz w:val="21"/>
              <w:szCs w:val="21"/>
            </w:rPr>
          </w:pPr>
          <w:r w:rsidRPr="009702FF">
            <w:rPr>
              <w:rFonts w:ascii="Karma" w:hAnsi="Karma" w:cs="Karma"/>
              <w:i/>
              <w:iCs/>
              <w:sz w:val="21"/>
              <w:szCs w:val="21"/>
            </w:rPr>
            <w:t>Per l’Italia, il 2022 è stato l’anno più caldo dal 1800 - LifeGate</w:t>
          </w:r>
          <w:r w:rsidRPr="009702FF">
            <w:rPr>
              <w:rFonts w:ascii="Karma" w:hAnsi="Karma" w:cs="Karma"/>
              <w:sz w:val="21"/>
              <w:szCs w:val="21"/>
            </w:rPr>
            <w:t>. (</w:t>
          </w:r>
          <w:r w:rsidRPr="001B67E6">
            <w:rPr>
              <w:rFonts w:ascii="Karma" w:hAnsi="Karma" w:cs="Karma"/>
              <w:sz w:val="21"/>
              <w:szCs w:val="21"/>
              <w:lang w:val="en-US"/>
            </w:rPr>
            <w:t>2022</w:t>
          </w:r>
          <w:r w:rsidRPr="009702FF">
            <w:rPr>
              <w:rFonts w:ascii="Karma" w:hAnsi="Karma" w:cs="Karma"/>
              <w:sz w:val="21"/>
              <w:szCs w:val="21"/>
            </w:rPr>
            <w:t>). Retrieved November 28, 2023, from https://www.lifegate.it/italia-2022-caldo</w:t>
          </w:r>
        </w:p>
        <w:p w14:paraId="196B607C" w14:textId="77777777" w:rsidR="009702FF" w:rsidRPr="009702FF" w:rsidRDefault="009702FF" w:rsidP="009702FF">
          <w:pPr>
            <w:autoSpaceDE w:val="0"/>
            <w:autoSpaceDN w:val="0"/>
            <w:ind w:hanging="480"/>
            <w:jc w:val="both"/>
            <w:divId w:val="999424309"/>
            <w:rPr>
              <w:rFonts w:ascii="Karma" w:hAnsi="Karma" w:cs="Karma"/>
              <w:sz w:val="21"/>
              <w:szCs w:val="21"/>
            </w:rPr>
          </w:pPr>
          <w:r w:rsidRPr="009702FF">
            <w:rPr>
              <w:rFonts w:ascii="Karma" w:hAnsi="Karma" w:cs="Karma"/>
              <w:sz w:val="21"/>
              <w:szCs w:val="21"/>
            </w:rPr>
            <w:t xml:space="preserve">Sassano, G., Graziadei, A., Amato, F., &amp; Murgante, B. (2017). Involving citizens in the reuse and regeneration of urban peripheral spaces. </w:t>
          </w:r>
          <w:r w:rsidRPr="009702FF">
            <w:rPr>
              <w:rFonts w:ascii="Karma" w:hAnsi="Karma" w:cs="Karma"/>
              <w:i/>
              <w:iCs/>
              <w:sz w:val="21"/>
              <w:szCs w:val="21"/>
            </w:rPr>
            <w:t>Urban Book Series</w:t>
          </w:r>
          <w:r w:rsidRPr="009702FF">
            <w:rPr>
              <w:rFonts w:ascii="Karma" w:hAnsi="Karma" w:cs="Karma"/>
              <w:sz w:val="21"/>
              <w:szCs w:val="21"/>
            </w:rPr>
            <w:t>, 193–206. https://doi.org/10.1007/978-3-319-43979-2_10</w:t>
          </w:r>
        </w:p>
        <w:p w14:paraId="47612454" w14:textId="77777777" w:rsidR="009702FF" w:rsidRPr="009702FF" w:rsidRDefault="009702FF" w:rsidP="009702FF">
          <w:pPr>
            <w:autoSpaceDE w:val="0"/>
            <w:autoSpaceDN w:val="0"/>
            <w:ind w:hanging="480"/>
            <w:jc w:val="both"/>
            <w:divId w:val="1571578169"/>
            <w:rPr>
              <w:rFonts w:ascii="Karma" w:hAnsi="Karma" w:cs="Karma"/>
              <w:sz w:val="21"/>
              <w:szCs w:val="21"/>
            </w:rPr>
          </w:pPr>
          <w:r w:rsidRPr="009702FF">
            <w:rPr>
              <w:rFonts w:ascii="Karma" w:hAnsi="Karma" w:cs="Karma"/>
              <w:sz w:val="21"/>
              <w:szCs w:val="21"/>
            </w:rPr>
            <w:t xml:space="preserve">Teotónio, I., Oliveira Cruz, C., Matos Silva, C., &amp; Lopes, R. F. R. (2023). Bridging CBA and MCA for evaluating green infrastructure: Proposal of a new evaluation model (MAGICA). </w:t>
          </w:r>
          <w:r w:rsidRPr="009702FF">
            <w:rPr>
              <w:rFonts w:ascii="Karma" w:hAnsi="Karma" w:cs="Karma"/>
              <w:i/>
              <w:iCs/>
              <w:sz w:val="21"/>
              <w:szCs w:val="21"/>
            </w:rPr>
            <w:t>Socio-Economic Planning Sciences</w:t>
          </w:r>
          <w:r w:rsidRPr="009702FF">
            <w:rPr>
              <w:rFonts w:ascii="Karma" w:hAnsi="Karma" w:cs="Karma"/>
              <w:sz w:val="21"/>
              <w:szCs w:val="21"/>
            </w:rPr>
            <w:t xml:space="preserve">, </w:t>
          </w:r>
          <w:r w:rsidRPr="009702FF">
            <w:rPr>
              <w:rFonts w:ascii="Karma" w:hAnsi="Karma" w:cs="Karma"/>
              <w:i/>
              <w:iCs/>
              <w:sz w:val="21"/>
              <w:szCs w:val="21"/>
            </w:rPr>
            <w:t>85</w:t>
          </w:r>
          <w:r w:rsidRPr="009702FF">
            <w:rPr>
              <w:rFonts w:ascii="Karma" w:hAnsi="Karma" w:cs="Karma"/>
              <w:sz w:val="21"/>
              <w:szCs w:val="21"/>
            </w:rPr>
            <w:t>, 101446. https://doi.org/10.1016/J.SEPS.2022.101446</w:t>
          </w:r>
        </w:p>
        <w:p w14:paraId="04469638" w14:textId="74BB7597" w:rsidR="00342A49" w:rsidRDefault="009702FF" w:rsidP="009702FF">
          <w:pPr>
            <w:jc w:val="both"/>
          </w:pPr>
          <w:r w:rsidRPr="009702FF">
            <w:rPr>
              <w:rFonts w:ascii="Karma" w:hAnsi="Karma" w:cs="Karma"/>
              <w:sz w:val="21"/>
              <w:szCs w:val="21"/>
            </w:rPr>
            <w:t> </w:t>
          </w:r>
        </w:p>
      </w:sdtContent>
    </w:sdt>
    <w:p w14:paraId="30C9ADC1" w14:textId="7FFEBC18" w:rsidR="00484C23" w:rsidRPr="009702FF" w:rsidRDefault="00484C23" w:rsidP="00484C23">
      <w:pPr>
        <w:spacing w:before="240" w:after="240"/>
        <w:jc w:val="both"/>
        <w:rPr>
          <w:rFonts w:ascii="Karma" w:hAnsi="Karma" w:cs="Karma"/>
          <w:b/>
          <w:bCs/>
          <w:sz w:val="21"/>
          <w:szCs w:val="21"/>
          <w:lang w:val="en-US"/>
        </w:rPr>
      </w:pPr>
      <w:r>
        <w:rPr>
          <w:rFonts w:ascii="Karma" w:hAnsi="Karma" w:cs="Karma"/>
          <w:b/>
          <w:bCs/>
          <w:sz w:val="21"/>
          <w:szCs w:val="21"/>
          <w:lang w:val="en-US"/>
        </w:rPr>
        <w:t>Appendix</w:t>
      </w:r>
    </w:p>
    <w:p w14:paraId="765DBFF7" w14:textId="742CB9A0" w:rsidR="00342A49" w:rsidRDefault="00D7194D" w:rsidP="00484C23">
      <w:pPr>
        <w:rPr>
          <w:rFonts w:ascii="Karma" w:hAnsi="Karma" w:cs="Karma"/>
          <w:sz w:val="21"/>
          <w:szCs w:val="21"/>
          <w:lang w:val="en-US"/>
        </w:rPr>
      </w:pPr>
      <w:r>
        <w:rPr>
          <w:rFonts w:ascii="Karma" w:hAnsi="Karma" w:cs="Karma"/>
          <w:sz w:val="21"/>
          <w:szCs w:val="21"/>
          <w:lang w:val="en-US"/>
        </w:rPr>
        <w:t>Figure A1; Figure A2 and Tables A1.</w:t>
      </w:r>
    </w:p>
    <w:p w14:paraId="189633E9" w14:textId="77777777" w:rsidR="00D7194D" w:rsidRDefault="00D7194D" w:rsidP="00484C23"/>
    <w:p w14:paraId="4CE80CBD"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This guide contains examples of common types of APA Style references. Section numbers indicate where to find the examples in the </w:t>
      </w:r>
      <w:r w:rsidRPr="009702FF">
        <w:rPr>
          <w:rFonts w:ascii="Karma" w:hAnsi="Karma" w:cs="Karma"/>
          <w:i/>
          <w:iCs/>
          <w:sz w:val="21"/>
          <w:szCs w:val="21"/>
        </w:rPr>
        <w:t xml:space="preserve">Publication Manual of the American Psychological Association </w:t>
      </w:r>
      <w:r w:rsidRPr="009702FF">
        <w:rPr>
          <w:rFonts w:ascii="Karma" w:hAnsi="Karma" w:cs="Karma"/>
          <w:sz w:val="21"/>
          <w:szCs w:val="21"/>
        </w:rPr>
        <w:t xml:space="preserve">(7th ed.). </w:t>
      </w:r>
    </w:p>
    <w:p w14:paraId="7D3D9C94"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More information on references and reference examples are in Chapters 9 and 10 of the </w:t>
      </w:r>
      <w:r w:rsidRPr="009702FF">
        <w:rPr>
          <w:rFonts w:ascii="Karma" w:hAnsi="Karma" w:cs="Karma"/>
          <w:i/>
          <w:iCs/>
          <w:sz w:val="21"/>
          <w:szCs w:val="21"/>
        </w:rPr>
        <w:t xml:space="preserve">Publication Manual </w:t>
      </w:r>
      <w:r w:rsidRPr="009702FF">
        <w:rPr>
          <w:rFonts w:ascii="Karma" w:hAnsi="Karma" w:cs="Karma"/>
          <w:sz w:val="21"/>
          <w:szCs w:val="21"/>
        </w:rPr>
        <w:t xml:space="preserve">as well as the </w:t>
      </w:r>
      <w:r w:rsidRPr="009702FF">
        <w:rPr>
          <w:rFonts w:ascii="Karma" w:hAnsi="Karma" w:cs="Karma"/>
          <w:i/>
          <w:iCs/>
          <w:sz w:val="21"/>
          <w:szCs w:val="21"/>
        </w:rPr>
        <w:t>Concise Guide to APA Styl</w:t>
      </w:r>
      <w:r w:rsidRPr="009702FF">
        <w:rPr>
          <w:rFonts w:ascii="Karma" w:hAnsi="Karma" w:cs="Karma"/>
          <w:sz w:val="21"/>
          <w:szCs w:val="21"/>
        </w:rPr>
        <w:t xml:space="preserve">e (7th ed.). Also see the </w:t>
      </w:r>
      <w:r w:rsidRPr="009702FF">
        <w:rPr>
          <w:rFonts w:ascii="Karma" w:hAnsi="Karma" w:cs="Karma"/>
          <w:color w:val="0C7F91"/>
          <w:sz w:val="21"/>
          <w:szCs w:val="21"/>
        </w:rPr>
        <w:t xml:space="preserve">Reference Examples </w:t>
      </w:r>
      <w:r w:rsidRPr="009702FF">
        <w:rPr>
          <w:rFonts w:ascii="Karma" w:hAnsi="Karma" w:cs="Karma"/>
          <w:sz w:val="21"/>
          <w:szCs w:val="21"/>
        </w:rPr>
        <w:t xml:space="preserve">pages on the APA Style website. </w:t>
      </w:r>
    </w:p>
    <w:p w14:paraId="3FACC583"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Journal Article (Section 10.1) </w:t>
      </w:r>
    </w:p>
    <w:p w14:paraId="62221438"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Edwards, A. A., Steacy, L. M., Siegelman, N., Rigobon, V. M., Kearns, D. M., Rueckl, J. G., &amp; Compton, D. L. (2022). Unpacking the unique relationship between set for variability and word reading development: Examining word- and child-level predictors of performance. </w:t>
      </w:r>
      <w:r w:rsidRPr="009702FF">
        <w:rPr>
          <w:rFonts w:ascii="Karma" w:hAnsi="Karma" w:cs="Karma"/>
          <w:i/>
          <w:iCs/>
          <w:sz w:val="21"/>
          <w:szCs w:val="21"/>
        </w:rPr>
        <w:t>Journal of Educational Psychology</w:t>
      </w:r>
      <w:r w:rsidRPr="009702FF">
        <w:rPr>
          <w:rFonts w:ascii="Karma" w:hAnsi="Karma" w:cs="Karma"/>
          <w:sz w:val="21"/>
          <w:szCs w:val="21"/>
        </w:rPr>
        <w:t xml:space="preserve">, </w:t>
      </w:r>
      <w:r w:rsidRPr="009702FF">
        <w:rPr>
          <w:rFonts w:ascii="Karma" w:hAnsi="Karma" w:cs="Karma"/>
          <w:i/>
          <w:iCs/>
          <w:sz w:val="21"/>
          <w:szCs w:val="21"/>
        </w:rPr>
        <w:t>114</w:t>
      </w:r>
      <w:r w:rsidRPr="009702FF">
        <w:rPr>
          <w:rFonts w:ascii="Karma" w:hAnsi="Karma" w:cs="Karma"/>
          <w:sz w:val="21"/>
          <w:szCs w:val="21"/>
        </w:rPr>
        <w:t xml:space="preserve">(6), 1242–1256. </w:t>
      </w:r>
      <w:r w:rsidRPr="009702FF">
        <w:rPr>
          <w:rFonts w:ascii="Karma" w:hAnsi="Karma" w:cs="Karma"/>
          <w:color w:val="0C7F91"/>
          <w:sz w:val="21"/>
          <w:szCs w:val="21"/>
        </w:rPr>
        <w:t xml:space="preserve">https://doi.org/10.1037/edu0000696 </w:t>
      </w:r>
    </w:p>
    <w:p w14:paraId="506E9C2F"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Online Magazine Article (Section 10.1) </w:t>
      </w:r>
    </w:p>
    <w:p w14:paraId="3E6A89DF"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Thomson, J. (2022, September 8). Massive, strange white structures appear on Utah’s Great Salt Lake. </w:t>
      </w:r>
      <w:r w:rsidRPr="009702FF">
        <w:rPr>
          <w:rFonts w:ascii="Karma" w:hAnsi="Karma" w:cs="Karma"/>
          <w:i/>
          <w:iCs/>
          <w:sz w:val="21"/>
          <w:szCs w:val="21"/>
        </w:rPr>
        <w:t>Newsweek</w:t>
      </w:r>
      <w:r w:rsidRPr="009702FF">
        <w:rPr>
          <w:rFonts w:ascii="Karma" w:hAnsi="Karma" w:cs="Karma"/>
          <w:sz w:val="21"/>
          <w:szCs w:val="21"/>
        </w:rPr>
        <w:t xml:space="preserve">. </w:t>
      </w:r>
      <w:r w:rsidRPr="009702FF">
        <w:rPr>
          <w:rFonts w:ascii="Karma" w:hAnsi="Karma" w:cs="Karma"/>
          <w:color w:val="0C7F91"/>
          <w:sz w:val="21"/>
          <w:szCs w:val="21"/>
        </w:rPr>
        <w:t xml:space="preserve">https://www.newsweek.com/mysterious-mounds-great-salt-lake-utah-explained- mirabilite-1741151 </w:t>
      </w:r>
    </w:p>
    <w:p w14:paraId="1837FED7"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Print Magazine Article (Section 10.1) </w:t>
      </w:r>
    </w:p>
    <w:p w14:paraId="373834E1"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Nicholl, K. (2020, May). A royal spark. </w:t>
      </w:r>
      <w:r w:rsidRPr="009702FF">
        <w:rPr>
          <w:rFonts w:ascii="Karma" w:hAnsi="Karma" w:cs="Karma"/>
          <w:i/>
          <w:iCs/>
          <w:sz w:val="21"/>
          <w:szCs w:val="21"/>
        </w:rPr>
        <w:t>Vanity Fair</w:t>
      </w:r>
      <w:r w:rsidRPr="009702FF">
        <w:rPr>
          <w:rFonts w:ascii="Karma" w:hAnsi="Karma" w:cs="Karma"/>
          <w:sz w:val="21"/>
          <w:szCs w:val="21"/>
        </w:rPr>
        <w:t xml:space="preserve">, </w:t>
      </w:r>
      <w:r w:rsidRPr="009702FF">
        <w:rPr>
          <w:rFonts w:ascii="Karma" w:hAnsi="Karma" w:cs="Karma"/>
          <w:i/>
          <w:iCs/>
          <w:sz w:val="21"/>
          <w:szCs w:val="21"/>
        </w:rPr>
        <w:t>62</w:t>
      </w:r>
      <w:r w:rsidRPr="009702FF">
        <w:rPr>
          <w:rFonts w:ascii="Karma" w:hAnsi="Karma" w:cs="Karma"/>
          <w:sz w:val="21"/>
          <w:szCs w:val="21"/>
        </w:rPr>
        <w:t xml:space="preserve">(5), 56–65, 100. </w:t>
      </w:r>
    </w:p>
    <w:p w14:paraId="02516D1D"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Online Newspaper Article (Section 10.1) </w:t>
      </w:r>
    </w:p>
    <w:p w14:paraId="08D3AF0E"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Roberts, S. (2020, April 9). Early string ties us to Neanderthals. </w:t>
      </w:r>
      <w:r w:rsidRPr="009702FF">
        <w:rPr>
          <w:rFonts w:ascii="Karma" w:hAnsi="Karma" w:cs="Karma"/>
          <w:i/>
          <w:iCs/>
          <w:sz w:val="21"/>
          <w:szCs w:val="21"/>
        </w:rPr>
        <w:t>The New York Times</w:t>
      </w:r>
      <w:r w:rsidRPr="009702FF">
        <w:rPr>
          <w:rFonts w:ascii="Karma" w:hAnsi="Karma" w:cs="Karma"/>
          <w:sz w:val="21"/>
          <w:szCs w:val="21"/>
        </w:rPr>
        <w:t xml:space="preserve">. </w:t>
      </w:r>
      <w:r w:rsidRPr="009702FF">
        <w:rPr>
          <w:rFonts w:ascii="Karma" w:hAnsi="Karma" w:cs="Karma"/>
          <w:color w:val="0C7F91"/>
          <w:sz w:val="21"/>
          <w:szCs w:val="21"/>
        </w:rPr>
        <w:t xml:space="preserve">https://www.nytimes.com/2020/04/09/science/neanderthals-fiber-string-math.html </w:t>
      </w:r>
    </w:p>
    <w:p w14:paraId="3BEF646F"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Print Newspaper Article (Section 10.1) </w:t>
      </w:r>
    </w:p>
    <w:p w14:paraId="20229765"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Reynolds, G. (2019, April 9). Different strokes for athletic hearts. </w:t>
      </w:r>
      <w:r w:rsidRPr="009702FF">
        <w:rPr>
          <w:rFonts w:ascii="Karma" w:hAnsi="Karma" w:cs="Karma"/>
          <w:i/>
          <w:iCs/>
          <w:sz w:val="21"/>
          <w:szCs w:val="21"/>
        </w:rPr>
        <w:t>The New York Times</w:t>
      </w:r>
      <w:r w:rsidRPr="009702FF">
        <w:rPr>
          <w:rFonts w:ascii="Karma" w:hAnsi="Karma" w:cs="Karma"/>
          <w:sz w:val="21"/>
          <w:szCs w:val="21"/>
        </w:rPr>
        <w:t xml:space="preserve">, D4. </w:t>
      </w:r>
    </w:p>
    <w:p w14:paraId="0F3A11D7" w14:textId="6AF3A58A"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Blog Post (Section 10.1) </w:t>
      </w:r>
    </w:p>
    <w:p w14:paraId="41CB2EC3"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Rutledge, P. (2019, March 11). The upside of social media. </w:t>
      </w:r>
      <w:r w:rsidRPr="009702FF">
        <w:rPr>
          <w:rFonts w:ascii="Karma" w:hAnsi="Karma" w:cs="Karma"/>
          <w:i/>
          <w:iCs/>
          <w:sz w:val="21"/>
          <w:szCs w:val="21"/>
        </w:rPr>
        <w:t xml:space="preserve">The Media Psychology Blog. </w:t>
      </w:r>
      <w:r w:rsidRPr="009702FF">
        <w:rPr>
          <w:rFonts w:ascii="Karma" w:hAnsi="Karma" w:cs="Karma"/>
          <w:color w:val="0C7F91"/>
          <w:sz w:val="21"/>
          <w:szCs w:val="21"/>
        </w:rPr>
        <w:t xml:space="preserve">https://www.pamelarutledge.com/2019/03/11/the-upside-of-social-media/ </w:t>
      </w:r>
    </w:p>
    <w:p w14:paraId="2ACDB786"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Authored Book (Section 10.2) </w:t>
      </w:r>
    </w:p>
    <w:p w14:paraId="31064A80"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Kaufman, K. A., Glass, C. R., &amp; Pineau, T. R. (2018). </w:t>
      </w:r>
      <w:r w:rsidRPr="009702FF">
        <w:rPr>
          <w:rFonts w:ascii="Karma" w:hAnsi="Karma" w:cs="Karma"/>
          <w:i/>
          <w:iCs/>
          <w:sz w:val="21"/>
          <w:szCs w:val="21"/>
        </w:rPr>
        <w:t xml:space="preserve">Mindful sport performance enhancement: Mental training for athletes and coaches. </w:t>
      </w:r>
      <w:r w:rsidRPr="009702FF">
        <w:rPr>
          <w:rFonts w:ascii="Karma" w:hAnsi="Karma" w:cs="Karma"/>
          <w:sz w:val="21"/>
          <w:szCs w:val="21"/>
        </w:rPr>
        <w:t xml:space="preserve">American Psychological Association. </w:t>
      </w:r>
      <w:r w:rsidRPr="009702FF">
        <w:rPr>
          <w:rFonts w:ascii="Karma" w:hAnsi="Karma" w:cs="Karma"/>
          <w:color w:val="0C7F91"/>
          <w:sz w:val="21"/>
          <w:szCs w:val="21"/>
        </w:rPr>
        <w:t xml:space="preserve">https://doi.org/10.1037/0000048-000 </w:t>
      </w:r>
    </w:p>
    <w:p w14:paraId="5964DA87"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Edited Book Chapter (Section 10.3) </w:t>
      </w:r>
    </w:p>
    <w:p w14:paraId="0D205892"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lastRenderedPageBreak/>
        <w:t xml:space="preserve">Zeleke, W. A., Hughes, T. L., &amp; Drozda, N. (2020). Home–school collaboration to promote mind– body health. In C. Maykel &amp; M. A. Bray (Eds.), </w:t>
      </w:r>
      <w:r w:rsidRPr="009702FF">
        <w:rPr>
          <w:rFonts w:ascii="Karma" w:hAnsi="Karma" w:cs="Karma"/>
          <w:i/>
          <w:iCs/>
          <w:sz w:val="21"/>
          <w:szCs w:val="21"/>
        </w:rPr>
        <w:t xml:space="preserve">Promoting mind–body health in schools: Interventions for mental health professionals </w:t>
      </w:r>
      <w:r w:rsidRPr="009702FF">
        <w:rPr>
          <w:rFonts w:ascii="Karma" w:hAnsi="Karma" w:cs="Karma"/>
          <w:sz w:val="21"/>
          <w:szCs w:val="21"/>
        </w:rPr>
        <w:t xml:space="preserve">(pp. 11–26). American Psychological Association. </w:t>
      </w:r>
      <w:r w:rsidRPr="009702FF">
        <w:rPr>
          <w:rFonts w:ascii="Karma" w:hAnsi="Karma" w:cs="Karma"/>
          <w:color w:val="0C7F91"/>
          <w:sz w:val="21"/>
          <w:szCs w:val="21"/>
        </w:rPr>
        <w:t xml:space="preserve">https://doi.org/10.1037/0000157-002 </w:t>
      </w:r>
    </w:p>
    <w:p w14:paraId="2CF27F41"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Online Dictionary Entry (Section 10.3) </w:t>
      </w:r>
    </w:p>
    <w:p w14:paraId="6E08AC83"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American Psychological Association. (n.d.). Internet addiction. </w:t>
      </w:r>
      <w:r w:rsidRPr="009702FF">
        <w:rPr>
          <w:rFonts w:ascii="Karma" w:hAnsi="Karma" w:cs="Karma"/>
          <w:i/>
          <w:iCs/>
          <w:sz w:val="21"/>
          <w:szCs w:val="21"/>
        </w:rPr>
        <w:t>In APA dictionary of psychology</w:t>
      </w:r>
      <w:r w:rsidRPr="009702FF">
        <w:rPr>
          <w:rFonts w:ascii="Karma" w:hAnsi="Karma" w:cs="Karma"/>
          <w:sz w:val="21"/>
          <w:szCs w:val="21"/>
        </w:rPr>
        <w:t xml:space="preserve">. Retrieved April 24, 2022, from </w:t>
      </w:r>
      <w:r w:rsidRPr="009702FF">
        <w:rPr>
          <w:rFonts w:ascii="Karma" w:hAnsi="Karma" w:cs="Karma"/>
          <w:color w:val="0C7F91"/>
          <w:sz w:val="21"/>
          <w:szCs w:val="21"/>
        </w:rPr>
        <w:t xml:space="preserve">https://dictionary.apa.org/internet-addiction </w:t>
      </w:r>
    </w:p>
    <w:p w14:paraId="5DCF1DDE"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Report by a Group Author (Section 10.4) </w:t>
      </w:r>
    </w:p>
    <w:p w14:paraId="6DB9A649"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World Health Organization. (2014). </w:t>
      </w:r>
      <w:r w:rsidRPr="009702FF">
        <w:rPr>
          <w:rFonts w:ascii="Karma" w:hAnsi="Karma" w:cs="Karma"/>
          <w:i/>
          <w:iCs/>
          <w:sz w:val="21"/>
          <w:szCs w:val="21"/>
        </w:rPr>
        <w:t>Comprehensive implementation plan on maternal, infant and young child nutritio</w:t>
      </w:r>
      <w:r w:rsidRPr="009702FF">
        <w:rPr>
          <w:rFonts w:ascii="Karma" w:hAnsi="Karma" w:cs="Karma"/>
          <w:sz w:val="21"/>
          <w:szCs w:val="21"/>
        </w:rPr>
        <w:t xml:space="preserve">n. </w:t>
      </w:r>
      <w:r w:rsidRPr="009702FF">
        <w:rPr>
          <w:rFonts w:ascii="Karma" w:hAnsi="Karma" w:cs="Karma"/>
          <w:color w:val="0C7F91"/>
          <w:sz w:val="21"/>
          <w:szCs w:val="21"/>
        </w:rPr>
        <w:t xml:space="preserve">https://apps.who.int/iris/bitstream/handle/10665/113048/WHO_NMH_NHD_14.1_ eng.pdf?ua=1 </w:t>
      </w:r>
    </w:p>
    <w:p w14:paraId="062D3A28"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Report by Individual Authors (Section 10.4) </w:t>
      </w:r>
    </w:p>
    <w:p w14:paraId="101CB8EC"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Winthrop, R., Ziegler, L., Handa, R., &amp; Fakoya, F. (2019). </w:t>
      </w:r>
      <w:r w:rsidRPr="009702FF">
        <w:rPr>
          <w:rFonts w:ascii="Karma" w:hAnsi="Karma" w:cs="Karma"/>
          <w:i/>
          <w:iCs/>
          <w:sz w:val="21"/>
          <w:szCs w:val="21"/>
        </w:rPr>
        <w:t>How playful learning can help leapfrog progress in education</w:t>
      </w:r>
      <w:r w:rsidRPr="009702FF">
        <w:rPr>
          <w:rFonts w:ascii="Karma" w:hAnsi="Karma" w:cs="Karma"/>
          <w:sz w:val="21"/>
          <w:szCs w:val="21"/>
        </w:rPr>
        <w:t xml:space="preserve">. Center for Universal Education at Brookings. </w:t>
      </w:r>
      <w:r w:rsidRPr="009702FF">
        <w:rPr>
          <w:rFonts w:ascii="Karma" w:hAnsi="Karma" w:cs="Karma"/>
          <w:color w:val="0C7F91"/>
          <w:sz w:val="21"/>
          <w:szCs w:val="21"/>
        </w:rPr>
        <w:t xml:space="preserve">https://www.brookings.edu/wp-content/ uploads/2019/04/how_playful_learning_can_help_leapfrog_progress_in_education.pdf </w:t>
      </w:r>
    </w:p>
    <w:p w14:paraId="38EEE58A"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Press Release (Section 10.4) </w:t>
      </w:r>
    </w:p>
    <w:p w14:paraId="3FE8B4A0"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American Psychological Association. (2020, March 2). </w:t>
      </w:r>
      <w:r w:rsidRPr="009702FF">
        <w:rPr>
          <w:rFonts w:ascii="Karma" w:hAnsi="Karma" w:cs="Karma"/>
          <w:i/>
          <w:iCs/>
          <w:sz w:val="21"/>
          <w:szCs w:val="21"/>
        </w:rPr>
        <w:t xml:space="preserve">APA reaffirms psychologists’ role in combating climate change </w:t>
      </w:r>
      <w:r w:rsidRPr="009702FF">
        <w:rPr>
          <w:rFonts w:ascii="Karma" w:hAnsi="Karma" w:cs="Karma"/>
          <w:sz w:val="21"/>
          <w:szCs w:val="21"/>
        </w:rPr>
        <w:t xml:space="preserve">[Press release]. </w:t>
      </w:r>
      <w:r w:rsidRPr="009702FF">
        <w:rPr>
          <w:rFonts w:ascii="Karma" w:hAnsi="Karma" w:cs="Karma"/>
          <w:color w:val="0C7F91"/>
          <w:sz w:val="21"/>
          <w:szCs w:val="21"/>
        </w:rPr>
        <w:t xml:space="preserve">https://www.apa.org/news/press/releases/2020/03/combating- climate-change </w:t>
      </w:r>
    </w:p>
    <w:p w14:paraId="5D6641A1"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Conference Session (Section 10.5) </w:t>
      </w:r>
    </w:p>
    <w:p w14:paraId="36F09FB8"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Davidson, R. J. (2019, August 8–11). </w:t>
      </w:r>
      <w:r w:rsidRPr="009702FF">
        <w:rPr>
          <w:rFonts w:ascii="Karma" w:hAnsi="Karma" w:cs="Karma"/>
          <w:i/>
          <w:iCs/>
          <w:sz w:val="21"/>
          <w:szCs w:val="21"/>
        </w:rPr>
        <w:t xml:space="preserve">Well-being is a skill </w:t>
      </w:r>
      <w:r w:rsidRPr="009702FF">
        <w:rPr>
          <w:rFonts w:ascii="Karma" w:hAnsi="Karma" w:cs="Karma"/>
          <w:sz w:val="21"/>
          <w:szCs w:val="21"/>
        </w:rPr>
        <w:t xml:space="preserve">[Conference session]. APA 2019 Convention, Chicago, IL, United States. </w:t>
      </w:r>
      <w:r w:rsidRPr="009702FF">
        <w:rPr>
          <w:rFonts w:ascii="Karma" w:hAnsi="Karma" w:cs="Karma"/>
          <w:color w:val="0C7F91"/>
          <w:sz w:val="21"/>
          <w:szCs w:val="21"/>
        </w:rPr>
        <w:t xml:space="preserve">https://irp-cdn.multiscreensite.com/a5ea5d51/files/uploaded/APA2019_ Program_190708.pdf </w:t>
      </w:r>
    </w:p>
    <w:p w14:paraId="482C34B4"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Dissertation From a Database (Section 10.6) </w:t>
      </w:r>
    </w:p>
    <w:p w14:paraId="62EEB594"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Horvath-Plyman, M. (2018). </w:t>
      </w:r>
      <w:r w:rsidRPr="009702FF">
        <w:rPr>
          <w:rFonts w:ascii="Karma" w:hAnsi="Karma" w:cs="Karma"/>
          <w:i/>
          <w:iCs/>
          <w:sz w:val="21"/>
          <w:szCs w:val="21"/>
        </w:rPr>
        <w:t xml:space="preserve">Social media and the college student journey: An examination of how social media use impacts social capital and affects college choice, access, and transition </w:t>
      </w:r>
      <w:r w:rsidRPr="009702FF">
        <w:rPr>
          <w:rFonts w:ascii="Karma" w:hAnsi="Karma" w:cs="Karma"/>
          <w:sz w:val="21"/>
          <w:szCs w:val="21"/>
        </w:rPr>
        <w:t xml:space="preserve">(Publication No. 10937367). [Doctoral dissertation, New York University]. ProQuest Dissertations and Theses Global. </w:t>
      </w:r>
    </w:p>
    <w:p w14:paraId="450F035E"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Preprint Article (Section 10.8) </w:t>
      </w:r>
    </w:p>
    <w:p w14:paraId="6C01009E"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Latimier, A., Peyre, H., &amp; Ramus, F. (2020). </w:t>
      </w:r>
      <w:r w:rsidRPr="009702FF">
        <w:rPr>
          <w:rFonts w:ascii="Karma" w:hAnsi="Karma" w:cs="Karma"/>
          <w:i/>
          <w:iCs/>
          <w:sz w:val="21"/>
          <w:szCs w:val="21"/>
        </w:rPr>
        <w:t xml:space="preserve">A meta-analytic review of the benefit of spacing out retrieval practice episodes on retention. </w:t>
      </w:r>
      <w:r w:rsidRPr="009702FF">
        <w:rPr>
          <w:rFonts w:ascii="Karma" w:hAnsi="Karma" w:cs="Karma"/>
          <w:sz w:val="21"/>
          <w:szCs w:val="21"/>
        </w:rPr>
        <w:t xml:space="preserve">PsyArXiv. </w:t>
      </w:r>
      <w:r w:rsidRPr="009702FF">
        <w:rPr>
          <w:rFonts w:ascii="Karma" w:hAnsi="Karma" w:cs="Karma"/>
          <w:color w:val="0C7F91"/>
          <w:sz w:val="21"/>
          <w:szCs w:val="21"/>
        </w:rPr>
        <w:t xml:space="preserve">https://psyarxiv.com/kzy7u/ </w:t>
      </w:r>
    </w:p>
    <w:p w14:paraId="7D819492"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Data Set (Section 10.9) </w:t>
      </w:r>
    </w:p>
    <w:p w14:paraId="6F2DA9E2"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O’Donohue, W. (2017). </w:t>
      </w:r>
      <w:r w:rsidRPr="009702FF">
        <w:rPr>
          <w:rFonts w:ascii="Karma" w:hAnsi="Karma" w:cs="Karma"/>
          <w:i/>
          <w:iCs/>
          <w:sz w:val="21"/>
          <w:szCs w:val="21"/>
        </w:rPr>
        <w:t xml:space="preserve">Content analysis of undergraduate psychology textbooks </w:t>
      </w:r>
      <w:r w:rsidRPr="009702FF">
        <w:rPr>
          <w:rFonts w:ascii="Karma" w:hAnsi="Karma" w:cs="Karma"/>
          <w:sz w:val="21"/>
          <w:szCs w:val="21"/>
        </w:rPr>
        <w:t xml:space="preserve">(ICPSR 21600; Version V1) [Data set]. Inter-university Consortium for Political and Social Research. </w:t>
      </w:r>
      <w:r w:rsidRPr="009702FF">
        <w:rPr>
          <w:rFonts w:ascii="Karma" w:hAnsi="Karma" w:cs="Karma"/>
          <w:color w:val="0C7F91"/>
          <w:sz w:val="21"/>
          <w:szCs w:val="21"/>
        </w:rPr>
        <w:t xml:space="preserve">https://doi.org/10.3886/ ICPSR36966.v1 </w:t>
      </w:r>
    </w:p>
    <w:p w14:paraId="45DB4541"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lastRenderedPageBreak/>
        <w:t xml:space="preserve">Film or Video (Section 10.12) </w:t>
      </w:r>
    </w:p>
    <w:p w14:paraId="07FC95B9"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Docter, P., &amp; Del Carmen, R. (Directors). (2015). </w:t>
      </w:r>
      <w:r w:rsidRPr="009702FF">
        <w:rPr>
          <w:rFonts w:ascii="Karma" w:hAnsi="Karma" w:cs="Karma"/>
          <w:i/>
          <w:iCs/>
          <w:sz w:val="21"/>
          <w:szCs w:val="21"/>
        </w:rPr>
        <w:t xml:space="preserve">Inside out </w:t>
      </w:r>
      <w:r w:rsidRPr="009702FF">
        <w:rPr>
          <w:rFonts w:ascii="Karma" w:hAnsi="Karma" w:cs="Karma"/>
          <w:sz w:val="21"/>
          <w:szCs w:val="21"/>
        </w:rPr>
        <w:t xml:space="preserve">[Film]. Walt Disney Pictures; Pixar Animation Studios. </w:t>
      </w:r>
    </w:p>
    <w:p w14:paraId="00089C26"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TV Series Episode (Section 10.12) </w:t>
      </w:r>
    </w:p>
    <w:p w14:paraId="655B0B49"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Dippold, K. (Writer), &amp; Trim, M. (Director). (2011, April 14). Fancy party (Season 3, Episode 9) [TV series episode]. In G. Daniels, H. Klein, D. Miner, &amp; M. Schur (Executive Producers), </w:t>
      </w:r>
      <w:r w:rsidRPr="009702FF">
        <w:rPr>
          <w:rFonts w:ascii="Karma" w:hAnsi="Karma" w:cs="Karma"/>
          <w:i/>
          <w:iCs/>
          <w:sz w:val="21"/>
          <w:szCs w:val="21"/>
        </w:rPr>
        <w:t>Parks and recreation</w:t>
      </w:r>
      <w:r w:rsidRPr="009702FF">
        <w:rPr>
          <w:rFonts w:ascii="Karma" w:hAnsi="Karma" w:cs="Karma"/>
          <w:sz w:val="21"/>
          <w:szCs w:val="21"/>
        </w:rPr>
        <w:t xml:space="preserve">. Deedle-Dee Productions; Fremulon; 3 Arts Entertainment; Universal Media Studios. </w:t>
      </w:r>
    </w:p>
    <w:p w14:paraId="70CCD32C"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Webinar (Section 10.12) </w:t>
      </w:r>
    </w:p>
    <w:p w14:paraId="7CCE3CC9"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Kamin, H. S., Lee, C. L., &amp; McAdoo, T. L. (2020). </w:t>
      </w:r>
      <w:r w:rsidRPr="009702FF">
        <w:rPr>
          <w:rFonts w:ascii="Karma" w:hAnsi="Karma" w:cs="Karma"/>
          <w:i/>
          <w:iCs/>
          <w:sz w:val="21"/>
          <w:szCs w:val="21"/>
        </w:rPr>
        <w:t xml:space="preserve">Creating references using seventh edition APA Style </w:t>
      </w:r>
      <w:r w:rsidRPr="009702FF">
        <w:rPr>
          <w:rFonts w:ascii="Karma" w:hAnsi="Karma" w:cs="Karma"/>
          <w:sz w:val="21"/>
          <w:szCs w:val="21"/>
        </w:rPr>
        <w:t xml:space="preserve">[Webinar]. American Psychological Association. </w:t>
      </w:r>
      <w:r w:rsidRPr="009702FF">
        <w:rPr>
          <w:rFonts w:ascii="Karma" w:hAnsi="Karma" w:cs="Karma"/>
          <w:color w:val="0C7F91"/>
          <w:sz w:val="21"/>
          <w:szCs w:val="21"/>
        </w:rPr>
        <w:t xml:space="preserve">https://apastyle.apa.org/instructional-aids/tutorials- webinars </w:t>
      </w:r>
    </w:p>
    <w:p w14:paraId="0EFEEA53"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YouTube Video (Section 10.12) </w:t>
      </w:r>
    </w:p>
    <w:p w14:paraId="64703D01"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Above The Noise. (2017, October 18). </w:t>
      </w:r>
      <w:r w:rsidRPr="009702FF">
        <w:rPr>
          <w:rFonts w:ascii="Karma" w:hAnsi="Karma" w:cs="Karma"/>
          <w:i/>
          <w:iCs/>
          <w:sz w:val="21"/>
          <w:szCs w:val="21"/>
        </w:rPr>
        <w:t xml:space="preserve">Can procrastination be a good thing? </w:t>
      </w:r>
      <w:r w:rsidRPr="009702FF">
        <w:rPr>
          <w:rFonts w:ascii="Karma" w:hAnsi="Karma" w:cs="Karma"/>
          <w:sz w:val="21"/>
          <w:szCs w:val="21"/>
        </w:rPr>
        <w:t xml:space="preserve">[Video]. YouTube. </w:t>
      </w:r>
      <w:r w:rsidRPr="009702FF">
        <w:rPr>
          <w:rFonts w:ascii="Karma" w:hAnsi="Karma" w:cs="Karma"/>
          <w:color w:val="0C7F91"/>
          <w:sz w:val="21"/>
          <w:szCs w:val="21"/>
        </w:rPr>
        <w:t xml:space="preserve">https://www.youtube.com/watch?v=FQMwmBNNOnQ </w:t>
      </w:r>
    </w:p>
    <w:p w14:paraId="40E13AD0"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Song or Track (Section 10.13) </w:t>
      </w:r>
    </w:p>
    <w:p w14:paraId="1B9A032C"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Nirvana. (1991). Smells like teen spirit [Song]. On </w:t>
      </w:r>
      <w:r w:rsidRPr="009702FF">
        <w:rPr>
          <w:rFonts w:ascii="Karma" w:hAnsi="Karma" w:cs="Karma"/>
          <w:i/>
          <w:iCs/>
          <w:sz w:val="21"/>
          <w:szCs w:val="21"/>
        </w:rPr>
        <w:t>Nevermind</w:t>
      </w:r>
      <w:r w:rsidRPr="009702FF">
        <w:rPr>
          <w:rFonts w:ascii="Karma" w:hAnsi="Karma" w:cs="Karma"/>
          <w:sz w:val="21"/>
          <w:szCs w:val="21"/>
        </w:rPr>
        <w:t xml:space="preserve">. DGC. </w:t>
      </w:r>
    </w:p>
    <w:p w14:paraId="7E787F01"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Radio Broadcast (Section 10.13) </w:t>
      </w:r>
    </w:p>
    <w:p w14:paraId="6FAD4943"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Hersher, R. (2020, March 19). </w:t>
      </w:r>
      <w:r w:rsidRPr="009702FF">
        <w:rPr>
          <w:rFonts w:ascii="Karma" w:hAnsi="Karma" w:cs="Karma"/>
          <w:i/>
          <w:iCs/>
          <w:sz w:val="21"/>
          <w:szCs w:val="21"/>
        </w:rPr>
        <w:t xml:space="preserve">Spring starts today all over America, which is weird </w:t>
      </w:r>
      <w:r w:rsidRPr="009702FF">
        <w:rPr>
          <w:rFonts w:ascii="Karma" w:hAnsi="Karma" w:cs="Karma"/>
          <w:sz w:val="21"/>
          <w:szCs w:val="21"/>
        </w:rPr>
        <w:t xml:space="preserve">[Radio broadcast]. NPR. </w:t>
      </w:r>
      <w:r w:rsidRPr="009702FF">
        <w:rPr>
          <w:rFonts w:ascii="Karma" w:hAnsi="Karma" w:cs="Karma"/>
          <w:color w:val="0C7F91"/>
          <w:sz w:val="21"/>
          <w:szCs w:val="21"/>
        </w:rPr>
        <w:t xml:space="preserve">https://www.npr.org/2020/03/19/817237429/spring-starts-today-all-over america-which-is-weird </w:t>
      </w:r>
    </w:p>
    <w:p w14:paraId="65E091F0"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Podcast Episode (Section 10.13) </w:t>
      </w:r>
    </w:p>
    <w:p w14:paraId="734B951A"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Santos, L. (Host). (n.d.) Psychopaths and superheroes (No. 1) [Audio podcast episode]. In </w:t>
      </w:r>
      <w:r w:rsidRPr="009702FF">
        <w:rPr>
          <w:rFonts w:ascii="Karma" w:hAnsi="Karma" w:cs="Karma"/>
          <w:i/>
          <w:iCs/>
          <w:sz w:val="21"/>
          <w:szCs w:val="21"/>
        </w:rPr>
        <w:t xml:space="preserve">The happiness lab with Dr. Laurie Santos. </w:t>
      </w:r>
      <w:r w:rsidRPr="009702FF">
        <w:rPr>
          <w:rFonts w:ascii="Karma" w:hAnsi="Karma" w:cs="Karma"/>
          <w:sz w:val="21"/>
          <w:szCs w:val="21"/>
        </w:rPr>
        <w:t xml:space="preserve">Pushkin Industries. </w:t>
      </w:r>
      <w:r w:rsidRPr="009702FF">
        <w:rPr>
          <w:rFonts w:ascii="Karma" w:hAnsi="Karma" w:cs="Karma"/>
          <w:color w:val="0C7F91"/>
          <w:sz w:val="21"/>
          <w:szCs w:val="21"/>
        </w:rPr>
        <w:t xml:space="preserve">https://www.happinesslab.fm/season-2-episodes/ episode-1 </w:t>
      </w:r>
    </w:p>
    <w:p w14:paraId="35A3FC62"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Infographic (Section 10.14) </w:t>
      </w:r>
    </w:p>
    <w:p w14:paraId="5100B905" w14:textId="3F1B6FA0"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American Psychological Association. (n.d.). </w:t>
      </w:r>
      <w:r w:rsidRPr="009702FF">
        <w:rPr>
          <w:rFonts w:ascii="Karma" w:hAnsi="Karma" w:cs="Karma"/>
          <w:i/>
          <w:iCs/>
          <w:sz w:val="21"/>
          <w:szCs w:val="21"/>
        </w:rPr>
        <w:t xml:space="preserve">Data sharing </w:t>
      </w:r>
      <w:r w:rsidRPr="009702FF">
        <w:rPr>
          <w:rFonts w:ascii="Karma" w:hAnsi="Karma" w:cs="Karma"/>
          <w:sz w:val="21"/>
          <w:szCs w:val="21"/>
        </w:rPr>
        <w:t xml:space="preserve">[Infographic]. </w:t>
      </w:r>
      <w:r w:rsidRPr="009702FF">
        <w:rPr>
          <w:rFonts w:ascii="Karma" w:hAnsi="Karma" w:cs="Karma"/>
          <w:color w:val="0C7F91"/>
          <w:sz w:val="21"/>
          <w:szCs w:val="21"/>
        </w:rPr>
        <w:t xml:space="preserve">https://www.apa.org/pubs/journals/ </w:t>
      </w:r>
    </w:p>
    <w:p w14:paraId="23C6DF84" w14:textId="77777777" w:rsidR="009702FF" w:rsidRPr="009702FF" w:rsidRDefault="009702FF" w:rsidP="009702FF">
      <w:pPr>
        <w:pStyle w:val="NormalWeb"/>
        <w:shd w:val="clear" w:color="auto" w:fill="FFFFFF"/>
        <w:rPr>
          <w:rFonts w:ascii="Karma" w:hAnsi="Karma" w:cs="Karma"/>
          <w:sz w:val="21"/>
          <w:szCs w:val="21"/>
        </w:rPr>
      </w:pPr>
      <w:r w:rsidRPr="009702FF">
        <w:rPr>
          <w:rFonts w:ascii="Karma" w:hAnsi="Karma" w:cs="Karma"/>
          <w:b/>
          <w:bCs/>
          <w:sz w:val="21"/>
          <w:szCs w:val="21"/>
        </w:rPr>
        <w:t xml:space="preserve">PowerPoint From a Classroom Website (Section 10.14) </w:t>
      </w:r>
    </w:p>
    <w:p w14:paraId="1F79979B" w14:textId="77777777" w:rsidR="009702FF" w:rsidRPr="009702FF" w:rsidRDefault="009702FF" w:rsidP="009702FF">
      <w:pPr>
        <w:pStyle w:val="NormalWeb"/>
        <w:shd w:val="clear" w:color="auto" w:fill="FFFFFF"/>
        <w:rPr>
          <w:rFonts w:ascii="Karma" w:hAnsi="Karma" w:cs="Karma"/>
          <w:sz w:val="21"/>
          <w:szCs w:val="21"/>
        </w:rPr>
      </w:pPr>
      <w:r w:rsidRPr="009702FF">
        <w:rPr>
          <w:rFonts w:ascii="Karma" w:hAnsi="Karma" w:cs="Karma"/>
          <w:sz w:val="21"/>
          <w:szCs w:val="21"/>
        </w:rPr>
        <w:t xml:space="preserve">Mack, R., &amp; Spake, G. (2018). </w:t>
      </w:r>
      <w:r w:rsidRPr="009702FF">
        <w:rPr>
          <w:rFonts w:ascii="Karma" w:hAnsi="Karma" w:cs="Karma"/>
          <w:i/>
          <w:iCs/>
          <w:sz w:val="21"/>
          <w:szCs w:val="21"/>
        </w:rPr>
        <w:t xml:space="preserve">Citing open source images and formatting references for presentations </w:t>
      </w:r>
      <w:r w:rsidRPr="009702FF">
        <w:rPr>
          <w:rFonts w:ascii="Karma" w:hAnsi="Karma" w:cs="Karma"/>
          <w:sz w:val="21"/>
          <w:szCs w:val="21"/>
        </w:rPr>
        <w:t xml:space="preserve">[PowerPoint slides]. </w:t>
      </w:r>
      <w:r w:rsidRPr="009702FF">
        <w:rPr>
          <w:rFonts w:ascii="Karma" w:hAnsi="Karma" w:cs="Karma"/>
          <w:color w:val="0C7F91"/>
          <w:sz w:val="21"/>
          <w:szCs w:val="21"/>
        </w:rPr>
        <w:t xml:space="preserve">Canvas@FNU. https://fnu.onelogin.com/login </w:t>
      </w:r>
    </w:p>
    <w:p w14:paraId="16B9E82F" w14:textId="77777777" w:rsidR="009702FF" w:rsidRPr="009702FF" w:rsidRDefault="009702FF" w:rsidP="009702FF">
      <w:pPr>
        <w:pStyle w:val="NormalWeb"/>
        <w:shd w:val="clear" w:color="auto" w:fill="FFFFFF"/>
        <w:rPr>
          <w:rFonts w:ascii="Karma" w:hAnsi="Karma" w:cs="Karma"/>
          <w:sz w:val="21"/>
          <w:szCs w:val="21"/>
        </w:rPr>
      </w:pPr>
      <w:r w:rsidRPr="009702FF">
        <w:rPr>
          <w:rFonts w:ascii="Karma" w:hAnsi="Karma" w:cs="Karma"/>
          <w:b/>
          <w:bCs/>
          <w:sz w:val="21"/>
          <w:szCs w:val="21"/>
        </w:rPr>
        <w:t xml:space="preserve">Tweet (Section 10.15) </w:t>
      </w:r>
    </w:p>
    <w:p w14:paraId="750D0280" w14:textId="77777777" w:rsidR="009702FF" w:rsidRPr="009702FF" w:rsidRDefault="009702FF" w:rsidP="009702FF">
      <w:pPr>
        <w:pStyle w:val="NormalWeb"/>
        <w:shd w:val="clear" w:color="auto" w:fill="FFFFFF"/>
        <w:rPr>
          <w:rFonts w:ascii="Karma" w:hAnsi="Karma" w:cs="Karma"/>
          <w:sz w:val="21"/>
          <w:szCs w:val="21"/>
        </w:rPr>
      </w:pPr>
      <w:r w:rsidRPr="009702FF">
        <w:rPr>
          <w:rFonts w:ascii="Karma" w:hAnsi="Karma" w:cs="Karma"/>
          <w:sz w:val="21"/>
          <w:szCs w:val="21"/>
        </w:rPr>
        <w:lastRenderedPageBreak/>
        <w:t xml:space="preserve">Obama, B. [@BarackObama]. (2020, April 7). </w:t>
      </w:r>
      <w:r w:rsidRPr="009702FF">
        <w:rPr>
          <w:rFonts w:ascii="Karma" w:hAnsi="Karma" w:cs="Karma"/>
          <w:i/>
          <w:iCs/>
          <w:sz w:val="21"/>
          <w:szCs w:val="21"/>
        </w:rPr>
        <w:t xml:space="preserve">It’s World Health Day, and we owe a profound debt of gratitude to all our medical professionals. They’re still giving </w:t>
      </w:r>
      <w:r w:rsidRPr="009702FF">
        <w:rPr>
          <w:rFonts w:ascii="Karma" w:hAnsi="Karma" w:cs="Karma"/>
          <w:sz w:val="21"/>
          <w:szCs w:val="21"/>
        </w:rPr>
        <w:t xml:space="preserve">[Tweet]. Twitter. </w:t>
      </w:r>
      <w:r w:rsidRPr="009702FF">
        <w:rPr>
          <w:rFonts w:ascii="Karma" w:hAnsi="Karma" w:cs="Karma"/>
          <w:color w:val="0C7F91"/>
          <w:sz w:val="21"/>
          <w:szCs w:val="21"/>
        </w:rPr>
        <w:t xml:space="preserve">https://twitter.com/ BarackObama/status/1247555328365023238 </w:t>
      </w:r>
    </w:p>
    <w:p w14:paraId="0F25E7E2" w14:textId="77777777" w:rsidR="009702FF" w:rsidRPr="009702FF" w:rsidRDefault="009702FF" w:rsidP="009702FF">
      <w:pPr>
        <w:pStyle w:val="NormalWeb"/>
        <w:shd w:val="clear" w:color="auto" w:fill="FFFFFF"/>
        <w:rPr>
          <w:rFonts w:ascii="Karma" w:hAnsi="Karma" w:cs="Karma"/>
          <w:sz w:val="21"/>
          <w:szCs w:val="21"/>
        </w:rPr>
      </w:pPr>
      <w:r w:rsidRPr="009702FF">
        <w:rPr>
          <w:rFonts w:ascii="Karma" w:hAnsi="Karma" w:cs="Karma"/>
          <w:b/>
          <w:bCs/>
          <w:sz w:val="21"/>
          <w:szCs w:val="21"/>
        </w:rPr>
        <w:t xml:space="preserve">Open Educational Resource (Section 10.16) </w:t>
      </w:r>
    </w:p>
    <w:p w14:paraId="3C3D747C" w14:textId="77777777" w:rsidR="009702FF" w:rsidRPr="009702FF" w:rsidRDefault="009702FF" w:rsidP="009702FF">
      <w:pPr>
        <w:pStyle w:val="NormalWeb"/>
        <w:shd w:val="clear" w:color="auto" w:fill="FFFFFF"/>
        <w:rPr>
          <w:rFonts w:ascii="Karma" w:hAnsi="Karma" w:cs="Karma"/>
          <w:sz w:val="21"/>
          <w:szCs w:val="21"/>
        </w:rPr>
      </w:pPr>
      <w:r w:rsidRPr="009702FF">
        <w:rPr>
          <w:rFonts w:ascii="Karma" w:hAnsi="Karma" w:cs="Karma"/>
          <w:sz w:val="21"/>
          <w:szCs w:val="21"/>
        </w:rPr>
        <w:t xml:space="preserve">Fagan, J. (2019, March 25). </w:t>
      </w:r>
      <w:r w:rsidRPr="009702FF">
        <w:rPr>
          <w:rFonts w:ascii="Karma" w:hAnsi="Karma" w:cs="Karma"/>
          <w:i/>
          <w:iCs/>
          <w:sz w:val="21"/>
          <w:szCs w:val="21"/>
        </w:rPr>
        <w:t>Nursing clinical brain</w:t>
      </w:r>
      <w:r w:rsidRPr="009702FF">
        <w:rPr>
          <w:rFonts w:ascii="Karma" w:hAnsi="Karma" w:cs="Karma"/>
          <w:sz w:val="21"/>
          <w:szCs w:val="21"/>
        </w:rPr>
        <w:t xml:space="preserve">. OER Commons. Retrieved January 7, 2020, from </w:t>
      </w:r>
      <w:r w:rsidRPr="009702FF">
        <w:rPr>
          <w:rFonts w:ascii="Karma" w:hAnsi="Karma" w:cs="Karma"/>
          <w:color w:val="0C7F91"/>
          <w:sz w:val="21"/>
          <w:szCs w:val="21"/>
        </w:rPr>
        <w:t xml:space="preserve">https://www.oercommons.org/authoring/53029-nursing-clinical-brain/view </w:t>
      </w:r>
    </w:p>
    <w:p w14:paraId="1CAA9968" w14:textId="77777777" w:rsidR="009702FF" w:rsidRPr="009702FF" w:rsidRDefault="009702FF" w:rsidP="009702FF">
      <w:pPr>
        <w:pStyle w:val="NormalWeb"/>
        <w:shd w:val="clear" w:color="auto" w:fill="FFFFFF"/>
        <w:rPr>
          <w:rFonts w:ascii="Karma" w:hAnsi="Karma" w:cs="Karma"/>
          <w:sz w:val="21"/>
          <w:szCs w:val="21"/>
        </w:rPr>
      </w:pPr>
      <w:r w:rsidRPr="009702FF">
        <w:rPr>
          <w:rFonts w:ascii="Karma" w:hAnsi="Karma" w:cs="Karma"/>
          <w:b/>
          <w:bCs/>
          <w:sz w:val="21"/>
          <w:szCs w:val="21"/>
        </w:rPr>
        <w:t xml:space="preserve">Webpage (Section 10.16) </w:t>
      </w:r>
    </w:p>
    <w:p w14:paraId="57CBF4E2" w14:textId="77777777" w:rsidR="009702FF" w:rsidRPr="009702FF" w:rsidRDefault="009702FF" w:rsidP="009702FF">
      <w:pPr>
        <w:pStyle w:val="NormalWeb"/>
        <w:shd w:val="clear" w:color="auto" w:fill="FFFFFF"/>
        <w:rPr>
          <w:rFonts w:ascii="Karma" w:hAnsi="Karma" w:cs="Karma"/>
          <w:sz w:val="21"/>
          <w:szCs w:val="21"/>
        </w:rPr>
      </w:pPr>
      <w:r w:rsidRPr="009702FF">
        <w:rPr>
          <w:rFonts w:ascii="Karma" w:hAnsi="Karma" w:cs="Karma"/>
          <w:sz w:val="21"/>
          <w:szCs w:val="21"/>
        </w:rPr>
        <w:t xml:space="preserve">Chandler, N. (2020, April 9). </w:t>
      </w:r>
      <w:r w:rsidRPr="009702FF">
        <w:rPr>
          <w:rFonts w:ascii="Karma" w:hAnsi="Karma" w:cs="Karma"/>
          <w:i/>
          <w:iCs/>
          <w:sz w:val="21"/>
          <w:szCs w:val="21"/>
        </w:rPr>
        <w:t xml:space="preserve">What’s the difference between Sasquatch and Bigfoot? </w:t>
      </w:r>
      <w:r w:rsidRPr="009702FF">
        <w:rPr>
          <w:rFonts w:ascii="Karma" w:hAnsi="Karma" w:cs="Karma"/>
          <w:sz w:val="21"/>
          <w:szCs w:val="21"/>
        </w:rPr>
        <w:t xml:space="preserve">howstuffworks. </w:t>
      </w:r>
      <w:r w:rsidRPr="009702FF">
        <w:rPr>
          <w:rFonts w:ascii="Karma" w:hAnsi="Karma" w:cs="Karma"/>
          <w:color w:val="0C7F91"/>
          <w:sz w:val="21"/>
          <w:szCs w:val="21"/>
        </w:rPr>
        <w:t xml:space="preserve">https://science.howstuffworks.com/science-vs-myth/strange-creatures/sasquatch-bigfoot- difference.htm </w:t>
      </w:r>
    </w:p>
    <w:p w14:paraId="467E7498" w14:textId="77777777" w:rsidR="009702FF" w:rsidRPr="009702FF" w:rsidRDefault="009702FF" w:rsidP="009702FF">
      <w:pPr>
        <w:pStyle w:val="NormalWeb"/>
        <w:shd w:val="clear" w:color="auto" w:fill="FFFFFF"/>
        <w:rPr>
          <w:rFonts w:ascii="Karma" w:hAnsi="Karma" w:cs="Karma"/>
          <w:sz w:val="21"/>
          <w:szCs w:val="21"/>
        </w:rPr>
      </w:pPr>
      <w:r w:rsidRPr="009702FF">
        <w:rPr>
          <w:rFonts w:ascii="Karma" w:hAnsi="Karma" w:cs="Karma"/>
          <w:b/>
          <w:bCs/>
          <w:sz w:val="21"/>
          <w:szCs w:val="21"/>
        </w:rPr>
        <w:t xml:space="preserve">Webpage on a News Website (Section 10.16) </w:t>
      </w:r>
    </w:p>
    <w:p w14:paraId="7C4BB3AC" w14:textId="77777777" w:rsidR="009702FF" w:rsidRPr="009702FF" w:rsidRDefault="009702FF" w:rsidP="009702FF">
      <w:pPr>
        <w:pStyle w:val="NormalWeb"/>
        <w:shd w:val="clear" w:color="auto" w:fill="FFFFFF"/>
        <w:rPr>
          <w:rFonts w:ascii="Karma" w:hAnsi="Karma" w:cs="Karma"/>
          <w:sz w:val="21"/>
          <w:szCs w:val="21"/>
        </w:rPr>
      </w:pPr>
      <w:r w:rsidRPr="009702FF">
        <w:rPr>
          <w:rFonts w:ascii="Karma" w:hAnsi="Karma" w:cs="Karma"/>
          <w:sz w:val="21"/>
          <w:szCs w:val="21"/>
        </w:rPr>
        <w:t xml:space="preserve">Machado, J., &amp; Turner, K. (2020, March 7). </w:t>
      </w:r>
      <w:r w:rsidRPr="009702FF">
        <w:rPr>
          <w:rFonts w:ascii="Karma" w:hAnsi="Karma" w:cs="Karma"/>
          <w:i/>
          <w:iCs/>
          <w:sz w:val="21"/>
          <w:szCs w:val="21"/>
        </w:rPr>
        <w:t xml:space="preserve">The future of feminism. </w:t>
      </w:r>
      <w:r w:rsidRPr="009702FF">
        <w:rPr>
          <w:rFonts w:ascii="Karma" w:hAnsi="Karma" w:cs="Karma"/>
          <w:sz w:val="21"/>
          <w:szCs w:val="21"/>
        </w:rPr>
        <w:t xml:space="preserve">Vox. </w:t>
      </w:r>
      <w:r w:rsidRPr="009702FF">
        <w:rPr>
          <w:rFonts w:ascii="Karma" w:hAnsi="Karma" w:cs="Karma"/>
          <w:color w:val="0C7F91"/>
          <w:sz w:val="21"/>
          <w:szCs w:val="21"/>
        </w:rPr>
        <w:t xml:space="preserve">https://www.vox.com/ identities/2020/3/7/21163193/international-womens-day-2020 </w:t>
      </w:r>
    </w:p>
    <w:p w14:paraId="7F38C01F" w14:textId="77777777" w:rsidR="009702FF" w:rsidRPr="009702FF" w:rsidRDefault="009702FF" w:rsidP="009702FF">
      <w:pPr>
        <w:pStyle w:val="NormalWeb"/>
        <w:shd w:val="clear" w:color="auto" w:fill="FFFFFF"/>
        <w:rPr>
          <w:rFonts w:ascii="Karma" w:hAnsi="Karma" w:cs="Karma"/>
          <w:sz w:val="21"/>
          <w:szCs w:val="21"/>
        </w:rPr>
      </w:pPr>
      <w:r w:rsidRPr="009702FF">
        <w:rPr>
          <w:rFonts w:ascii="Karma" w:hAnsi="Karma" w:cs="Karma"/>
          <w:b/>
          <w:bCs/>
          <w:sz w:val="21"/>
          <w:szCs w:val="21"/>
        </w:rPr>
        <w:t xml:space="preserve">Webpage With a Retrieval Date (Section 10.16) </w:t>
      </w:r>
    </w:p>
    <w:p w14:paraId="3F2F622B" w14:textId="77777777" w:rsidR="009702FF" w:rsidRPr="009702FF" w:rsidRDefault="009702FF" w:rsidP="009702FF">
      <w:pPr>
        <w:pStyle w:val="NormalWeb"/>
        <w:shd w:val="clear" w:color="auto" w:fill="FFFFFF"/>
        <w:rPr>
          <w:rFonts w:ascii="Karma" w:hAnsi="Karma" w:cs="Karma"/>
          <w:sz w:val="21"/>
          <w:szCs w:val="21"/>
        </w:rPr>
      </w:pPr>
      <w:r w:rsidRPr="009702FF">
        <w:rPr>
          <w:rFonts w:ascii="Karma" w:hAnsi="Karma" w:cs="Karma"/>
          <w:sz w:val="21"/>
          <w:szCs w:val="21"/>
        </w:rPr>
        <w:t xml:space="preserve">Center for Systems Science and Engineering. (2020, May 6). </w:t>
      </w:r>
      <w:r w:rsidRPr="009702FF">
        <w:rPr>
          <w:rFonts w:ascii="Karma" w:hAnsi="Karma" w:cs="Karma"/>
          <w:i/>
          <w:iCs/>
          <w:sz w:val="21"/>
          <w:szCs w:val="21"/>
        </w:rPr>
        <w:t>COVID-19 dashboard by the Center for Systems Science and Engineering (CSSE) at Johns Hopkins University (JHU)</w:t>
      </w:r>
      <w:r w:rsidRPr="009702FF">
        <w:rPr>
          <w:rFonts w:ascii="Karma" w:hAnsi="Karma" w:cs="Karma"/>
          <w:sz w:val="21"/>
          <w:szCs w:val="21"/>
        </w:rPr>
        <w:t xml:space="preserve">. Johns Hopkins University &amp; Medicine, Coronavirus Resource Center. Retrieved May 6, 2020, from </w:t>
      </w:r>
      <w:r w:rsidRPr="009702FF">
        <w:rPr>
          <w:rFonts w:ascii="Karma" w:hAnsi="Karma" w:cs="Karma"/>
          <w:color w:val="0C7F91"/>
          <w:sz w:val="21"/>
          <w:szCs w:val="21"/>
        </w:rPr>
        <w:t xml:space="preserve">https://coronavirus.jhu.edu/map.html </w:t>
      </w:r>
    </w:p>
    <w:p w14:paraId="0E99DA17" w14:textId="77777777" w:rsidR="00342A49" w:rsidRPr="009702FF" w:rsidRDefault="00342A49">
      <w:pPr>
        <w:rPr>
          <w:rFonts w:ascii="Karma" w:hAnsi="Karma" w:cs="Karma"/>
          <w:sz w:val="21"/>
          <w:szCs w:val="21"/>
        </w:rPr>
      </w:pPr>
    </w:p>
    <w:p w14:paraId="0962EB40" w14:textId="77777777" w:rsidR="00342A49" w:rsidRDefault="00342A49"/>
    <w:p w14:paraId="7E6F5ED5" w14:textId="77777777" w:rsidR="00342A49" w:rsidRDefault="00342A49"/>
    <w:p w14:paraId="428F9115" w14:textId="77777777" w:rsidR="00342A49" w:rsidRDefault="00342A49"/>
    <w:p w14:paraId="41BED00C" w14:textId="77777777" w:rsidR="00342A49" w:rsidRDefault="00342A49"/>
    <w:p w14:paraId="4AA8717C" w14:textId="77777777" w:rsidR="00342A49" w:rsidRDefault="00342A49"/>
    <w:p w14:paraId="6711B6DA" w14:textId="77777777" w:rsidR="00342A49" w:rsidRDefault="00342A49"/>
    <w:p w14:paraId="749E13A4" w14:textId="77777777" w:rsidR="00716AAD" w:rsidRDefault="00716AAD"/>
    <w:p w14:paraId="7190D5B7" w14:textId="77777777" w:rsidR="008A5BF9" w:rsidRDefault="008A5BF9"/>
    <w:p w14:paraId="7924A35B" w14:textId="77777777" w:rsidR="008A5BF9" w:rsidRDefault="008A5BF9"/>
    <w:p w14:paraId="2EC93165" w14:textId="77777777" w:rsidR="008A5BF9" w:rsidRDefault="008A5BF9"/>
    <w:p w14:paraId="700ED59E" w14:textId="77777777" w:rsidR="008A5BF9" w:rsidRDefault="008A5BF9"/>
    <w:p w14:paraId="2CD3DE71" w14:textId="77777777" w:rsidR="008A5BF9" w:rsidRDefault="008A5BF9"/>
    <w:sectPr w:rsidR="008A5BF9" w:rsidSect="006360AC">
      <w:headerReference w:type="default" r:id="rId10"/>
      <w:footerReference w:type="even" r:id="rId11"/>
      <w:footerReference w:type="default" r:id="rId12"/>
      <w:headerReference w:type="first" r:id="rId13"/>
      <w:footerReference w:type="first" r:id="rId14"/>
      <w:pgSz w:w="11906" w:h="16838"/>
      <w:pgMar w:top="1418" w:right="851" w:bottom="1134" w:left="1134" w:header="680"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3E43F" w14:textId="77777777" w:rsidR="00E24769" w:rsidRDefault="00E24769" w:rsidP="008A5BF9">
      <w:r>
        <w:separator/>
      </w:r>
    </w:p>
  </w:endnote>
  <w:endnote w:type="continuationSeparator" w:id="0">
    <w:p w14:paraId="59032340" w14:textId="77777777" w:rsidR="00E24769" w:rsidRDefault="00E24769" w:rsidP="008A5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tamaran">
    <w:panose1 w:val="00000000000000000000"/>
    <w:charset w:val="4D"/>
    <w:family w:val="auto"/>
    <w:pitch w:val="variable"/>
    <w:sig w:usb0="801000AF" w:usb1="5000204B" w:usb2="00000000" w:usb3="00000000" w:csb0="00000093"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Bodoni MT">
    <w:panose1 w:val="02070603080606020203"/>
    <w:charset w:val="4D"/>
    <w:family w:val="roman"/>
    <w:pitch w:val="variable"/>
    <w:sig w:usb0="00000003" w:usb1="00000000" w:usb2="00000000" w:usb3="00000000" w:csb0="00000001" w:csb1="00000000"/>
  </w:font>
  <w:font w:name="Montserrat">
    <w:panose1 w:val="00000500000000000000"/>
    <w:charset w:val="4D"/>
    <w:family w:val="auto"/>
    <w:pitch w:val="variable"/>
    <w:sig w:usb0="A00002FF" w:usb1="4000207B" w:usb2="00000000" w:usb3="00000000" w:csb0="00000197" w:csb1="00000000"/>
  </w:font>
  <w:font w:name="Hind Siliguri">
    <w:panose1 w:val="02000000000000000000"/>
    <w:charset w:val="4D"/>
    <w:family w:val="auto"/>
    <w:pitch w:val="variable"/>
    <w:sig w:usb0="00010007" w:usb1="00000000" w:usb2="00000000" w:usb3="00000000" w:csb0="00000093" w:csb1="00000000"/>
  </w:font>
  <w:font w:name="Oxygen">
    <w:panose1 w:val="02000503000000000000"/>
    <w:charset w:val="4D"/>
    <w:family w:val="auto"/>
    <w:pitch w:val="variable"/>
    <w:sig w:usb0="A00000EF" w:usb1="4000204B" w:usb2="00000000" w:usb3="00000000" w:csb0="00000093" w:csb1="00000000"/>
  </w:font>
  <w:font w:name="Oxygen Light">
    <w:panose1 w:val="02000303000000000000"/>
    <w:charset w:val="00"/>
    <w:family w:val="auto"/>
    <w:pitch w:val="variable"/>
    <w:sig w:usb0="8000006F" w:usb1="40002049" w:usb2="00000000" w:usb3="00000000" w:csb0="00000001" w:csb1="00000000"/>
  </w:font>
  <w:font w:name="Karma">
    <w:panose1 w:val="02000000000000000000"/>
    <w:charset w:val="4D"/>
    <w:family w:val="auto"/>
    <w:pitch w:val="variable"/>
    <w:sig w:usb0="00008003" w:usb1="00000000" w:usb2="00000000" w:usb3="00000000" w:csb0="00000093" w:csb1="00000000"/>
  </w:font>
  <w:font w:name="Cambria Math">
    <w:panose1 w:val="02040503050406030204"/>
    <w:charset w:val="00"/>
    <w:family w:val="roman"/>
    <w:pitch w:val="variable"/>
    <w:sig w:usb0="E00002FF" w:usb1="420024FF" w:usb2="00000000" w:usb3="00000000" w:csb0="0000019F" w:csb1="00000000"/>
  </w:font>
  <w:font w:name="Montserrat Medium">
    <w:panose1 w:val="00000600000000000000"/>
    <w:charset w:val="4D"/>
    <w:family w:val="auto"/>
    <w:pitch w:val="variable"/>
    <w:sig w:usb0="A00002FF" w:usb1="4000207B" w:usb2="00000000" w:usb3="00000000" w:csb0="00000197"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01963728"/>
      <w:docPartObj>
        <w:docPartGallery w:val="Page Numbers (Bottom of Page)"/>
        <w:docPartUnique/>
      </w:docPartObj>
    </w:sdtPr>
    <w:sdtContent>
      <w:p w14:paraId="29F22D09" w14:textId="39BD06E8" w:rsidR="00BE3894" w:rsidRDefault="00BE3894" w:rsidP="00FA1F2E">
        <w:pPr>
          <w:pStyle w:val="Footer"/>
          <w:framePr w:wrap="none" w:vAnchor="text" w:hAnchor="page" w:x="845" w:y="43"/>
          <w:rPr>
            <w:rStyle w:val="PageNumber"/>
          </w:rPr>
        </w:pPr>
        <w:r>
          <w:rPr>
            <w:rStyle w:val="PageNumber"/>
          </w:rPr>
          <w:fldChar w:fldCharType="begin"/>
        </w:r>
        <w:r>
          <w:rPr>
            <w:rStyle w:val="PageNumber"/>
          </w:rPr>
          <w:instrText xml:space="preserve"> PAGE </w:instrText>
        </w:r>
        <w:r>
          <w:rPr>
            <w:rStyle w:val="PageNumber"/>
          </w:rPr>
          <w:fldChar w:fldCharType="separate"/>
        </w:r>
        <w:r w:rsidR="006360AC">
          <w:rPr>
            <w:rStyle w:val="PageNumber"/>
            <w:noProof/>
          </w:rPr>
          <w:t>2</w:t>
        </w:r>
        <w:r>
          <w:rPr>
            <w:rStyle w:val="PageNumber"/>
          </w:rPr>
          <w:fldChar w:fldCharType="end"/>
        </w:r>
      </w:p>
    </w:sdtContent>
  </w:sdt>
  <w:p w14:paraId="3407CA8C" w14:textId="11561FB9" w:rsidR="00BE3894" w:rsidRPr="00E84EE4" w:rsidRDefault="00E84EE4" w:rsidP="00E84EE4">
    <w:pPr>
      <w:pStyle w:val="Footer"/>
      <w:pBdr>
        <w:top w:val="single" w:sz="4" w:space="1" w:color="auto"/>
      </w:pBdr>
      <w:ind w:firstLine="360"/>
      <w:rPr>
        <w:lang w:val="it-IT"/>
      </w:rPr>
    </w:pPr>
    <w:r>
      <w:rPr>
        <w:lang w:val="it-IT"/>
      </w:rPr>
      <w:t xml:space="preserve">                                                                                                                                                      </w:t>
    </w:r>
    <w:r w:rsidRPr="00E84EE4">
      <w:rPr>
        <w:bdr w:val="single" w:sz="4" w:space="0" w:color="auto"/>
        <w:lang w:val="it-IT"/>
      </w:rPr>
      <w:t xml:space="preserve">           </w:t>
    </w:r>
    <w:r>
      <w:rPr>
        <w:lang w:val="it-IT"/>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Karma" w:hAnsi="Karma" w:cs="Karma"/>
        <w:sz w:val="21"/>
        <w:szCs w:val="21"/>
      </w:rPr>
      <w:id w:val="1608546989"/>
      <w:docPartObj>
        <w:docPartGallery w:val="Page Numbers (Bottom of Page)"/>
        <w:docPartUnique/>
      </w:docPartObj>
    </w:sdtPr>
    <w:sdtContent>
      <w:p w14:paraId="094CB4ED" w14:textId="77777777" w:rsidR="00FA1F2E" w:rsidRPr="00BE3894" w:rsidRDefault="00FA1F2E" w:rsidP="00FA1F2E">
        <w:pPr>
          <w:pStyle w:val="Footer"/>
          <w:framePr w:wrap="none" w:vAnchor="text" w:hAnchor="page" w:x="10972" w:y="87"/>
          <w:rPr>
            <w:rStyle w:val="PageNumber"/>
            <w:rFonts w:ascii="Karma" w:hAnsi="Karma" w:cs="Karma"/>
            <w:sz w:val="21"/>
            <w:szCs w:val="21"/>
          </w:rPr>
        </w:pPr>
        <w:r w:rsidRPr="00BE3894">
          <w:rPr>
            <w:rStyle w:val="PageNumber"/>
            <w:rFonts w:ascii="Karma" w:hAnsi="Karma" w:cs="Karma"/>
            <w:sz w:val="21"/>
            <w:szCs w:val="21"/>
          </w:rPr>
          <w:fldChar w:fldCharType="begin"/>
        </w:r>
        <w:r w:rsidRPr="00BE3894">
          <w:rPr>
            <w:rStyle w:val="PageNumber"/>
            <w:rFonts w:ascii="Karma" w:hAnsi="Karma" w:cs="Karma"/>
            <w:sz w:val="21"/>
            <w:szCs w:val="21"/>
          </w:rPr>
          <w:instrText xml:space="preserve"> PAGE </w:instrText>
        </w:r>
        <w:r w:rsidRPr="00BE3894">
          <w:rPr>
            <w:rStyle w:val="PageNumber"/>
            <w:rFonts w:ascii="Karma" w:hAnsi="Karma" w:cs="Karma"/>
            <w:sz w:val="21"/>
            <w:szCs w:val="21"/>
          </w:rPr>
          <w:fldChar w:fldCharType="separate"/>
        </w:r>
        <w:r w:rsidRPr="00BE3894">
          <w:rPr>
            <w:rStyle w:val="PageNumber"/>
            <w:rFonts w:ascii="Karma" w:hAnsi="Karma" w:cs="Karma"/>
            <w:noProof/>
            <w:sz w:val="21"/>
            <w:szCs w:val="21"/>
          </w:rPr>
          <w:t>2</w:t>
        </w:r>
        <w:r w:rsidRPr="00BE3894">
          <w:rPr>
            <w:rStyle w:val="PageNumber"/>
            <w:rFonts w:ascii="Karma" w:hAnsi="Karma" w:cs="Karma"/>
            <w:sz w:val="21"/>
            <w:szCs w:val="21"/>
          </w:rPr>
          <w:fldChar w:fldCharType="end"/>
        </w:r>
      </w:p>
    </w:sdtContent>
  </w:sdt>
  <w:p w14:paraId="7490C971" w14:textId="77777777" w:rsidR="00E84EE4" w:rsidRDefault="00E84EE4" w:rsidP="00FA1F2E">
    <w:pPr>
      <w:pStyle w:val="Footer"/>
      <w:pBdr>
        <w:top w:val="single" w:sz="4" w:space="1"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4A1D2" w14:textId="1DB09F1E" w:rsidR="00B06D06" w:rsidRPr="00D7194D" w:rsidRDefault="00D7194D" w:rsidP="00D7194D">
    <w:pPr>
      <w:pStyle w:val="Footer"/>
      <w:pBdr>
        <w:top w:val="single" w:sz="4" w:space="1" w:color="auto"/>
      </w:pBdr>
      <w:rPr>
        <w:rFonts w:ascii="Oxygen" w:hAnsi="Oxygen"/>
        <w:sz w:val="16"/>
        <w:szCs w:val="16"/>
        <w:lang w:val="it-IT"/>
      </w:rPr>
    </w:pPr>
    <w:r w:rsidRPr="00E84EE4">
      <w:rPr>
        <w:rStyle w:val="Strong"/>
        <w:rFonts w:ascii="Oxygen" w:hAnsi="Oxygen"/>
        <w:b w:val="0"/>
        <w:bCs w:val="0"/>
        <w:i/>
        <w:iCs/>
        <w:sz w:val="16"/>
        <w:szCs w:val="16"/>
      </w:rPr>
      <w:t xml:space="preserve">Valori e Valutazioni </w:t>
    </w:r>
    <w:r w:rsidRPr="00E84EE4">
      <w:rPr>
        <w:rStyle w:val="Strong"/>
        <w:rFonts w:ascii="Oxygen" w:hAnsi="Oxygen"/>
        <w:b w:val="0"/>
        <w:bCs w:val="0"/>
        <w:sz w:val="16"/>
        <w:szCs w:val="16"/>
      </w:rPr>
      <w:t>2023, 33</w:t>
    </w:r>
    <w:r w:rsidR="00BE3894">
      <w:rPr>
        <w:rFonts w:ascii="Karma" w:hAnsi="Karma" w:cs="Karma"/>
        <w:sz w:val="20"/>
        <w:szCs w:val="20"/>
      </w:rPr>
      <w:tab/>
    </w:r>
    <w:r w:rsidR="00BE3894">
      <w:rPr>
        <w:rFonts w:ascii="Karma" w:hAnsi="Karma" w:cs="Karma"/>
        <w:sz w:val="20"/>
        <w:szCs w:val="20"/>
      </w:rPr>
      <w:tab/>
    </w:r>
    <w:r w:rsidR="00BE3894">
      <w:rPr>
        <w:rFonts w:ascii="Karma" w:hAnsi="Karma" w:cs="Karma"/>
        <w:sz w:val="20"/>
        <w:szCs w:val="20"/>
      </w:rPr>
      <w:tab/>
    </w:r>
    <w:r w:rsidR="00BE3894" w:rsidRPr="00BE3894">
      <w:rPr>
        <w:rFonts w:ascii="Karma" w:hAnsi="Karma" w:cs="Karma"/>
        <w:b/>
        <w:bCs/>
        <w:sz w:val="21"/>
        <w:szCs w:val="21"/>
      </w:rPr>
      <w:fldChar w:fldCharType="begin"/>
    </w:r>
    <w:r w:rsidR="00BE3894" w:rsidRPr="00BE3894">
      <w:rPr>
        <w:rFonts w:ascii="Karma" w:hAnsi="Karma" w:cs="Karma"/>
        <w:b/>
        <w:bCs/>
        <w:sz w:val="21"/>
        <w:szCs w:val="21"/>
      </w:rPr>
      <w:instrText xml:space="preserve"> PAGE  \* MERGEFORMAT </w:instrText>
    </w:r>
    <w:r w:rsidR="00BE3894" w:rsidRPr="00BE3894">
      <w:rPr>
        <w:rFonts w:ascii="Karma" w:hAnsi="Karma" w:cs="Karma"/>
        <w:b/>
        <w:bCs/>
        <w:sz w:val="21"/>
        <w:szCs w:val="21"/>
      </w:rPr>
      <w:fldChar w:fldCharType="separate"/>
    </w:r>
    <w:r w:rsidR="00BE3894" w:rsidRPr="00BE3894">
      <w:rPr>
        <w:rFonts w:ascii="Karma" w:hAnsi="Karma" w:cs="Karma"/>
        <w:b/>
        <w:bCs/>
        <w:noProof/>
        <w:sz w:val="21"/>
        <w:szCs w:val="21"/>
      </w:rPr>
      <w:t>8</w:t>
    </w:r>
    <w:r w:rsidR="00BE3894" w:rsidRPr="00BE3894">
      <w:rPr>
        <w:rFonts w:ascii="Karma" w:hAnsi="Karma" w:cs="Karma"/>
        <w:b/>
        <w:bCs/>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A3961" w14:textId="77777777" w:rsidR="00E24769" w:rsidRDefault="00E24769" w:rsidP="008A5BF9">
      <w:r>
        <w:separator/>
      </w:r>
    </w:p>
  </w:footnote>
  <w:footnote w:type="continuationSeparator" w:id="0">
    <w:p w14:paraId="3D0CAA29" w14:textId="77777777" w:rsidR="00E24769" w:rsidRDefault="00E24769" w:rsidP="008A5B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8575D" w14:textId="77777777" w:rsidR="00E84EE4" w:rsidRPr="00E84EE4" w:rsidRDefault="006360AC" w:rsidP="006360AC">
    <w:pPr>
      <w:pStyle w:val="Header"/>
      <w:jc w:val="right"/>
      <w:rPr>
        <w:rFonts w:ascii="Montserrat Medium" w:hAnsi="Montserrat Medium" w:cs="Hind Siliguri"/>
        <w:sz w:val="16"/>
        <w:szCs w:val="16"/>
      </w:rPr>
    </w:pPr>
    <w:r w:rsidRPr="00E84EE4">
      <w:rPr>
        <w:rFonts w:ascii="Montserrat Medium" w:hAnsi="Montserrat Medium" w:cs="Hind Siliguri"/>
        <w:sz w:val="16"/>
        <w:szCs w:val="16"/>
      </w:rPr>
      <w:t>The value recapture of complex urban transformation interventions:</w:t>
    </w:r>
  </w:p>
  <w:p w14:paraId="17F32AC4" w14:textId="2240E044" w:rsidR="006360AC" w:rsidRPr="00E84EE4" w:rsidRDefault="006360AC" w:rsidP="006360AC">
    <w:pPr>
      <w:pStyle w:val="Header"/>
      <w:jc w:val="right"/>
      <w:rPr>
        <w:rFonts w:ascii="Montserrat Medium" w:hAnsi="Montserrat Medium"/>
        <w:sz w:val="16"/>
        <w:szCs w:val="16"/>
      </w:rPr>
    </w:pPr>
    <w:r w:rsidRPr="00E84EE4">
      <w:rPr>
        <w:rFonts w:ascii="Montserrat Medium" w:hAnsi="Montserrat Medium" w:cs="Hind Siliguri"/>
        <w:sz w:val="16"/>
        <w:szCs w:val="16"/>
      </w:rPr>
      <w:t>a rational procedure for the fair share of public and private benefits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2A5C5" w14:textId="2FB8CA1B" w:rsidR="00B06D06" w:rsidRDefault="00B06D06" w:rsidP="00B06D06">
    <w:pPr>
      <w:spacing w:line="200" w:lineRule="exact"/>
      <w:jc w:val="center"/>
      <w:rPr>
        <w:snapToGrid w:val="0"/>
        <w:szCs w:val="20"/>
      </w:rPr>
    </w:pPr>
    <w:r>
      <w:rPr>
        <w:noProof/>
      </w:rPr>
      <w:drawing>
        <wp:anchor distT="0" distB="0" distL="114300" distR="114300" simplePos="0" relativeHeight="251659264" behindDoc="0" locked="0" layoutInCell="1" allowOverlap="1" wp14:anchorId="54421A9C" wp14:editId="0703A339">
          <wp:simplePos x="0" y="0"/>
          <wp:positionH relativeFrom="column">
            <wp:posOffset>5715</wp:posOffset>
          </wp:positionH>
          <wp:positionV relativeFrom="paragraph">
            <wp:posOffset>6985</wp:posOffset>
          </wp:positionV>
          <wp:extent cx="1237615" cy="461645"/>
          <wp:effectExtent l="0" t="0" r="0" b="0"/>
          <wp:wrapNone/>
          <wp:docPr id="316748504" name="Picture 316748504" descr="A close-up of a sig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4555180" name="Immagine 18" descr="A close-up of a sign&#10;&#10;Description automatically generated"/>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7615" cy="4616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7E5533" w14:textId="77777777" w:rsidR="00B06D06" w:rsidRDefault="00B06D06" w:rsidP="00B06D06">
    <w:pPr>
      <w:spacing w:line="200" w:lineRule="exact"/>
      <w:jc w:val="right"/>
      <w:rPr>
        <w:snapToGrid w:val="0"/>
        <w:szCs w:val="20"/>
      </w:rPr>
    </w:pPr>
  </w:p>
  <w:p w14:paraId="1FAEAF90" w14:textId="0C4E713E" w:rsidR="00B06D06" w:rsidRPr="00D7194D" w:rsidRDefault="00B06D06" w:rsidP="00B06D06">
    <w:pPr>
      <w:spacing w:line="200" w:lineRule="exact"/>
      <w:jc w:val="right"/>
      <w:rPr>
        <w:rFonts w:ascii="Bodoni MT" w:hAnsi="Bodoni MT"/>
        <w:b/>
        <w:snapToGrid w:val="0"/>
        <w:sz w:val="21"/>
        <w:szCs w:val="16"/>
        <w:lang w:val="it-IT"/>
      </w:rPr>
    </w:pPr>
    <w:r w:rsidRPr="00D7194D">
      <w:rPr>
        <w:rFonts w:ascii="Bodoni MT" w:hAnsi="Bodoni MT"/>
        <w:b/>
        <w:snapToGrid w:val="0"/>
        <w:sz w:val="21"/>
        <w:szCs w:val="16"/>
        <w:lang w:val="it-IT"/>
      </w:rPr>
      <w:t>S</w:t>
    </w:r>
    <w:r w:rsidR="00D7194D" w:rsidRPr="00D7194D">
      <w:rPr>
        <w:rFonts w:ascii="Bodoni MT" w:hAnsi="Bodoni MT"/>
        <w:b/>
        <w:snapToGrid w:val="0"/>
        <w:sz w:val="21"/>
        <w:szCs w:val="16"/>
        <w:lang w:val="it-IT"/>
      </w:rPr>
      <w:t>ocietà Italiana di Estimo e Valutazione</w:t>
    </w:r>
  </w:p>
  <w:p w14:paraId="3F078CBB" w14:textId="77777777" w:rsidR="00B06D06" w:rsidRDefault="00B06D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A2396"/>
    <w:multiLevelType w:val="hybridMultilevel"/>
    <w:tmpl w:val="FB7EC64A"/>
    <w:lvl w:ilvl="0" w:tplc="4CF8344E">
      <w:start w:val="2"/>
      <w:numFmt w:val="bullet"/>
      <w:lvlText w:val=""/>
      <w:lvlJc w:val="left"/>
      <w:pPr>
        <w:ind w:left="720" w:hanging="360"/>
      </w:pPr>
      <w:rPr>
        <w:rFonts w:ascii="Symbol" w:eastAsia="Times New Roman" w:hAnsi="Symbol" w:cs="Catamar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ED206D"/>
    <w:multiLevelType w:val="hybridMultilevel"/>
    <w:tmpl w:val="592A29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56B94100"/>
    <w:multiLevelType w:val="hybridMultilevel"/>
    <w:tmpl w:val="D78007E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15305792">
    <w:abstractNumId w:val="1"/>
  </w:num>
  <w:num w:numId="2" w16cid:durableId="100995408">
    <w:abstractNumId w:val="2"/>
  </w:num>
  <w:num w:numId="3" w16cid:durableId="54471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mirrorMargins/>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BF9"/>
    <w:rsid w:val="00026FF9"/>
    <w:rsid w:val="001B67E6"/>
    <w:rsid w:val="0023517D"/>
    <w:rsid w:val="002A582E"/>
    <w:rsid w:val="00342A49"/>
    <w:rsid w:val="00396B14"/>
    <w:rsid w:val="003A30CF"/>
    <w:rsid w:val="003C178E"/>
    <w:rsid w:val="00436677"/>
    <w:rsid w:val="00466BCC"/>
    <w:rsid w:val="00484C23"/>
    <w:rsid w:val="00491B6A"/>
    <w:rsid w:val="00565D1E"/>
    <w:rsid w:val="005F41AD"/>
    <w:rsid w:val="006000A7"/>
    <w:rsid w:val="006360AC"/>
    <w:rsid w:val="00716AAD"/>
    <w:rsid w:val="00773331"/>
    <w:rsid w:val="008A5BF9"/>
    <w:rsid w:val="009702FF"/>
    <w:rsid w:val="00973EC1"/>
    <w:rsid w:val="00983388"/>
    <w:rsid w:val="009C0058"/>
    <w:rsid w:val="009C2DAA"/>
    <w:rsid w:val="00A645B0"/>
    <w:rsid w:val="00B06D06"/>
    <w:rsid w:val="00B20008"/>
    <w:rsid w:val="00BD28E2"/>
    <w:rsid w:val="00BE3894"/>
    <w:rsid w:val="00C651AB"/>
    <w:rsid w:val="00D501C1"/>
    <w:rsid w:val="00D7194D"/>
    <w:rsid w:val="00DB0740"/>
    <w:rsid w:val="00E04335"/>
    <w:rsid w:val="00E24769"/>
    <w:rsid w:val="00E84EE4"/>
    <w:rsid w:val="00F04F8C"/>
    <w:rsid w:val="00F07A06"/>
    <w:rsid w:val="00FA1F2E"/>
    <w:rsid w:val="00FB03BE"/>
  </w:rsids>
  <m:mathPr>
    <m:mathFont m:val="Cambria Math"/>
    <m:brkBin m:val="before"/>
    <m:brkBinSub m:val="--"/>
    <m:smallFrac m:val="0"/>
    <m:dispDef/>
    <m:lMargin m:val="0"/>
    <m:rMargin m:val="0"/>
    <m:defJc m:val="centerGroup"/>
    <m:wrapIndent m:val="1440"/>
    <m:intLim m:val="subSup"/>
    <m:naryLim m:val="undOvr"/>
  </m:mathPr>
  <w:themeFontLang w:val="en-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3C95CB"/>
  <w15:chartTrackingRefBased/>
  <w15:docId w15:val="{12D5AAA6-ABC5-3A42-92FF-9199A0F55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2FF"/>
    <w:rPr>
      <w:rFonts w:ascii="Times New Roman" w:eastAsia="Times New Roman" w:hAnsi="Times New Roman" w:cs="Times New Roman"/>
      <w:kern w:val="0"/>
      <w:lang w:eastAsia="en-GB"/>
      <w14:ligatures w14:val="none"/>
    </w:rPr>
  </w:style>
  <w:style w:type="paragraph" w:styleId="Heading3">
    <w:name w:val="heading 3"/>
    <w:basedOn w:val="Normal"/>
    <w:link w:val="Heading3Char"/>
    <w:uiPriority w:val="9"/>
    <w:qFormat/>
    <w:rsid w:val="00973EC1"/>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5BF9"/>
    <w:pPr>
      <w:tabs>
        <w:tab w:val="center" w:pos="4513"/>
        <w:tab w:val="right" w:pos="9026"/>
      </w:tabs>
    </w:pPr>
    <w:rPr>
      <w:rFonts w:asciiTheme="minorHAnsi" w:eastAsiaTheme="minorHAnsi" w:hAnsiTheme="minorHAnsi" w:cstheme="minorBidi"/>
      <w:kern w:val="2"/>
      <w:lang w:eastAsia="en-US"/>
      <w14:ligatures w14:val="standardContextual"/>
    </w:rPr>
  </w:style>
  <w:style w:type="character" w:customStyle="1" w:styleId="HeaderChar">
    <w:name w:val="Header Char"/>
    <w:basedOn w:val="DefaultParagraphFont"/>
    <w:link w:val="Header"/>
    <w:uiPriority w:val="99"/>
    <w:rsid w:val="008A5BF9"/>
  </w:style>
  <w:style w:type="paragraph" w:styleId="Footer">
    <w:name w:val="footer"/>
    <w:basedOn w:val="Normal"/>
    <w:link w:val="FooterChar"/>
    <w:uiPriority w:val="99"/>
    <w:unhideWhenUsed/>
    <w:rsid w:val="008A5BF9"/>
    <w:pPr>
      <w:tabs>
        <w:tab w:val="center" w:pos="4513"/>
        <w:tab w:val="right" w:pos="9026"/>
      </w:tabs>
    </w:pPr>
    <w:rPr>
      <w:rFonts w:asciiTheme="minorHAnsi" w:eastAsiaTheme="minorHAnsi" w:hAnsiTheme="minorHAnsi" w:cstheme="minorBidi"/>
      <w:kern w:val="2"/>
      <w:lang w:eastAsia="en-US"/>
      <w14:ligatures w14:val="standardContextual"/>
    </w:rPr>
  </w:style>
  <w:style w:type="character" w:customStyle="1" w:styleId="FooterChar">
    <w:name w:val="Footer Char"/>
    <w:basedOn w:val="DefaultParagraphFont"/>
    <w:link w:val="Footer"/>
    <w:uiPriority w:val="99"/>
    <w:rsid w:val="008A5BF9"/>
  </w:style>
  <w:style w:type="paragraph" w:customStyle="1" w:styleId="JournalTitle">
    <w:name w:val="Journal Title"/>
    <w:basedOn w:val="Normal"/>
    <w:rsid w:val="008A5BF9"/>
    <w:pPr>
      <w:spacing w:before="400" w:after="400"/>
    </w:pPr>
    <w:rPr>
      <w:rFonts w:ascii="Bodoni MT" w:hAnsi="Bodoni MT"/>
      <w:spacing w:val="-24"/>
      <w:sz w:val="96"/>
      <w:szCs w:val="96"/>
      <w:lang w:val="en-US" w:eastAsia="en-US"/>
    </w:rPr>
  </w:style>
  <w:style w:type="character" w:styleId="Hyperlink">
    <w:name w:val="Hyperlink"/>
    <w:uiPriority w:val="99"/>
    <w:unhideWhenUsed/>
    <w:rsid w:val="008A5BF9"/>
    <w:rPr>
      <w:color w:val="0563C1"/>
      <w:u w:val="single"/>
    </w:rPr>
  </w:style>
  <w:style w:type="character" w:styleId="FollowedHyperlink">
    <w:name w:val="FollowedHyperlink"/>
    <w:basedOn w:val="DefaultParagraphFont"/>
    <w:uiPriority w:val="99"/>
    <w:semiHidden/>
    <w:unhideWhenUsed/>
    <w:rsid w:val="008A5BF9"/>
    <w:rPr>
      <w:color w:val="954F72" w:themeColor="followedHyperlink"/>
      <w:u w:val="single"/>
    </w:rPr>
  </w:style>
  <w:style w:type="table" w:styleId="TableGrid">
    <w:name w:val="Table Grid"/>
    <w:basedOn w:val="TableNormal"/>
    <w:uiPriority w:val="39"/>
    <w:rsid w:val="003C17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178E"/>
    <w:pPr>
      <w:ind w:left="720"/>
      <w:contextualSpacing/>
    </w:pPr>
    <w:rPr>
      <w:rFonts w:asciiTheme="minorHAnsi" w:eastAsiaTheme="minorHAnsi" w:hAnsiTheme="minorHAnsi" w:cstheme="minorBidi"/>
      <w:kern w:val="2"/>
      <w:lang w:eastAsia="en-US"/>
      <w14:ligatures w14:val="standardContextual"/>
    </w:rPr>
  </w:style>
  <w:style w:type="character" w:styleId="UnresolvedMention">
    <w:name w:val="Unresolved Mention"/>
    <w:basedOn w:val="DefaultParagraphFont"/>
    <w:uiPriority w:val="99"/>
    <w:semiHidden/>
    <w:unhideWhenUsed/>
    <w:rsid w:val="009C0058"/>
    <w:rPr>
      <w:color w:val="605E5C"/>
      <w:shd w:val="clear" w:color="auto" w:fill="E1DFDD"/>
    </w:rPr>
  </w:style>
  <w:style w:type="character" w:customStyle="1" w:styleId="Heading3Char">
    <w:name w:val="Heading 3 Char"/>
    <w:basedOn w:val="DefaultParagraphFont"/>
    <w:link w:val="Heading3"/>
    <w:uiPriority w:val="9"/>
    <w:rsid w:val="00973EC1"/>
    <w:rPr>
      <w:rFonts w:ascii="Times New Roman" w:eastAsia="Times New Roman" w:hAnsi="Times New Roman" w:cs="Times New Roman"/>
      <w:b/>
      <w:bCs/>
      <w:kern w:val="0"/>
      <w:sz w:val="27"/>
      <w:szCs w:val="27"/>
      <w:lang w:eastAsia="en-GB"/>
      <w14:ligatures w14:val="none"/>
    </w:rPr>
  </w:style>
  <w:style w:type="paragraph" w:styleId="NormalWeb">
    <w:name w:val="Normal (Web)"/>
    <w:basedOn w:val="Normal"/>
    <w:uiPriority w:val="99"/>
    <w:unhideWhenUsed/>
    <w:rsid w:val="00973EC1"/>
    <w:pPr>
      <w:spacing w:before="100" w:beforeAutospacing="1" w:after="100" w:afterAutospacing="1"/>
    </w:pPr>
  </w:style>
  <w:style w:type="character" w:styleId="Strong">
    <w:name w:val="Strong"/>
    <w:basedOn w:val="DefaultParagraphFont"/>
    <w:uiPriority w:val="22"/>
    <w:qFormat/>
    <w:rsid w:val="00973EC1"/>
    <w:rPr>
      <w:b/>
      <w:bCs/>
    </w:rPr>
  </w:style>
  <w:style w:type="character" w:customStyle="1" w:styleId="ui-provider">
    <w:name w:val="ui-provider"/>
    <w:basedOn w:val="DefaultParagraphFont"/>
    <w:rsid w:val="00B06D06"/>
  </w:style>
  <w:style w:type="character" w:styleId="PlaceholderText">
    <w:name w:val="Placeholder Text"/>
    <w:basedOn w:val="DefaultParagraphFont"/>
    <w:uiPriority w:val="99"/>
    <w:semiHidden/>
    <w:rsid w:val="009702FF"/>
    <w:rPr>
      <w:color w:val="808080"/>
    </w:rPr>
  </w:style>
  <w:style w:type="character" w:styleId="PageNumber">
    <w:name w:val="page number"/>
    <w:basedOn w:val="DefaultParagraphFont"/>
    <w:uiPriority w:val="99"/>
    <w:semiHidden/>
    <w:unhideWhenUsed/>
    <w:rsid w:val="00BE3894"/>
  </w:style>
  <w:style w:type="character" w:styleId="CommentReference">
    <w:name w:val="annotation reference"/>
    <w:basedOn w:val="DefaultParagraphFont"/>
    <w:uiPriority w:val="99"/>
    <w:semiHidden/>
    <w:unhideWhenUsed/>
    <w:rsid w:val="00484C23"/>
    <w:rPr>
      <w:sz w:val="16"/>
      <w:szCs w:val="16"/>
    </w:rPr>
  </w:style>
  <w:style w:type="paragraph" w:styleId="CommentText">
    <w:name w:val="annotation text"/>
    <w:basedOn w:val="Normal"/>
    <w:link w:val="CommentTextChar"/>
    <w:uiPriority w:val="99"/>
    <w:semiHidden/>
    <w:unhideWhenUsed/>
    <w:rsid w:val="00484C23"/>
    <w:rPr>
      <w:sz w:val="20"/>
      <w:szCs w:val="20"/>
    </w:rPr>
  </w:style>
  <w:style w:type="character" w:customStyle="1" w:styleId="CommentTextChar">
    <w:name w:val="Comment Text Char"/>
    <w:basedOn w:val="DefaultParagraphFont"/>
    <w:link w:val="CommentText"/>
    <w:uiPriority w:val="99"/>
    <w:semiHidden/>
    <w:rsid w:val="00484C23"/>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484C23"/>
    <w:rPr>
      <w:b/>
      <w:bCs/>
    </w:rPr>
  </w:style>
  <w:style w:type="character" w:customStyle="1" w:styleId="CommentSubjectChar">
    <w:name w:val="Comment Subject Char"/>
    <w:basedOn w:val="CommentTextChar"/>
    <w:link w:val="CommentSubject"/>
    <w:uiPriority w:val="99"/>
    <w:semiHidden/>
    <w:rsid w:val="00484C23"/>
    <w:rPr>
      <w:rFonts w:ascii="Times New Roman" w:eastAsia="Times New Roman" w:hAnsi="Times New Roman" w:cs="Times New Roman"/>
      <w:b/>
      <w:bCs/>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737867">
      <w:bodyDiv w:val="1"/>
      <w:marLeft w:val="0"/>
      <w:marRight w:val="0"/>
      <w:marTop w:val="0"/>
      <w:marBottom w:val="0"/>
      <w:divBdr>
        <w:top w:val="none" w:sz="0" w:space="0" w:color="auto"/>
        <w:left w:val="none" w:sz="0" w:space="0" w:color="auto"/>
        <w:bottom w:val="none" w:sz="0" w:space="0" w:color="auto"/>
        <w:right w:val="none" w:sz="0" w:space="0" w:color="auto"/>
      </w:divBdr>
      <w:divsChild>
        <w:div w:id="525680572">
          <w:marLeft w:val="0"/>
          <w:marRight w:val="0"/>
          <w:marTop w:val="0"/>
          <w:marBottom w:val="0"/>
          <w:divBdr>
            <w:top w:val="none" w:sz="0" w:space="0" w:color="auto"/>
            <w:left w:val="none" w:sz="0" w:space="0" w:color="auto"/>
            <w:bottom w:val="none" w:sz="0" w:space="0" w:color="auto"/>
            <w:right w:val="none" w:sz="0" w:space="0" w:color="auto"/>
          </w:divBdr>
          <w:divsChild>
            <w:div w:id="1252467612">
              <w:marLeft w:val="0"/>
              <w:marRight w:val="0"/>
              <w:marTop w:val="0"/>
              <w:marBottom w:val="0"/>
              <w:divBdr>
                <w:top w:val="none" w:sz="0" w:space="0" w:color="auto"/>
                <w:left w:val="none" w:sz="0" w:space="0" w:color="auto"/>
                <w:bottom w:val="none" w:sz="0" w:space="0" w:color="auto"/>
                <w:right w:val="none" w:sz="0" w:space="0" w:color="auto"/>
              </w:divBdr>
              <w:divsChild>
                <w:div w:id="81587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310132">
      <w:bodyDiv w:val="1"/>
      <w:marLeft w:val="0"/>
      <w:marRight w:val="0"/>
      <w:marTop w:val="0"/>
      <w:marBottom w:val="0"/>
      <w:divBdr>
        <w:top w:val="none" w:sz="0" w:space="0" w:color="auto"/>
        <w:left w:val="none" w:sz="0" w:space="0" w:color="auto"/>
        <w:bottom w:val="none" w:sz="0" w:space="0" w:color="auto"/>
        <w:right w:val="none" w:sz="0" w:space="0" w:color="auto"/>
      </w:divBdr>
    </w:div>
    <w:div w:id="852377689">
      <w:bodyDiv w:val="1"/>
      <w:marLeft w:val="0"/>
      <w:marRight w:val="0"/>
      <w:marTop w:val="0"/>
      <w:marBottom w:val="0"/>
      <w:divBdr>
        <w:top w:val="none" w:sz="0" w:space="0" w:color="auto"/>
        <w:left w:val="none" w:sz="0" w:space="0" w:color="auto"/>
        <w:bottom w:val="none" w:sz="0" w:space="0" w:color="auto"/>
        <w:right w:val="none" w:sz="0" w:space="0" w:color="auto"/>
      </w:divBdr>
      <w:divsChild>
        <w:div w:id="533464775">
          <w:marLeft w:val="0"/>
          <w:marRight w:val="0"/>
          <w:marTop w:val="0"/>
          <w:marBottom w:val="0"/>
          <w:divBdr>
            <w:top w:val="none" w:sz="0" w:space="0" w:color="auto"/>
            <w:left w:val="none" w:sz="0" w:space="0" w:color="auto"/>
            <w:bottom w:val="none" w:sz="0" w:space="0" w:color="auto"/>
            <w:right w:val="none" w:sz="0" w:space="0" w:color="auto"/>
          </w:divBdr>
          <w:divsChild>
            <w:div w:id="429786320">
              <w:marLeft w:val="0"/>
              <w:marRight w:val="0"/>
              <w:marTop w:val="0"/>
              <w:marBottom w:val="0"/>
              <w:divBdr>
                <w:top w:val="none" w:sz="0" w:space="0" w:color="auto"/>
                <w:left w:val="none" w:sz="0" w:space="0" w:color="auto"/>
                <w:bottom w:val="none" w:sz="0" w:space="0" w:color="auto"/>
                <w:right w:val="none" w:sz="0" w:space="0" w:color="auto"/>
              </w:divBdr>
              <w:divsChild>
                <w:div w:id="32147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194874">
          <w:marLeft w:val="0"/>
          <w:marRight w:val="0"/>
          <w:marTop w:val="0"/>
          <w:marBottom w:val="0"/>
          <w:divBdr>
            <w:top w:val="none" w:sz="0" w:space="0" w:color="auto"/>
            <w:left w:val="none" w:sz="0" w:space="0" w:color="auto"/>
            <w:bottom w:val="none" w:sz="0" w:space="0" w:color="auto"/>
            <w:right w:val="none" w:sz="0" w:space="0" w:color="auto"/>
          </w:divBdr>
          <w:divsChild>
            <w:div w:id="1671132685">
              <w:marLeft w:val="0"/>
              <w:marRight w:val="0"/>
              <w:marTop w:val="0"/>
              <w:marBottom w:val="0"/>
              <w:divBdr>
                <w:top w:val="none" w:sz="0" w:space="0" w:color="auto"/>
                <w:left w:val="none" w:sz="0" w:space="0" w:color="auto"/>
                <w:bottom w:val="none" w:sz="0" w:space="0" w:color="auto"/>
                <w:right w:val="none" w:sz="0" w:space="0" w:color="auto"/>
              </w:divBdr>
              <w:divsChild>
                <w:div w:id="10304532">
                  <w:marLeft w:val="0"/>
                  <w:marRight w:val="0"/>
                  <w:marTop w:val="0"/>
                  <w:marBottom w:val="0"/>
                  <w:divBdr>
                    <w:top w:val="none" w:sz="0" w:space="0" w:color="auto"/>
                    <w:left w:val="none" w:sz="0" w:space="0" w:color="auto"/>
                    <w:bottom w:val="none" w:sz="0" w:space="0" w:color="auto"/>
                    <w:right w:val="none" w:sz="0" w:space="0" w:color="auto"/>
                  </w:divBdr>
                </w:div>
              </w:divsChild>
            </w:div>
            <w:div w:id="1500659234">
              <w:marLeft w:val="0"/>
              <w:marRight w:val="0"/>
              <w:marTop w:val="0"/>
              <w:marBottom w:val="0"/>
              <w:divBdr>
                <w:top w:val="none" w:sz="0" w:space="0" w:color="auto"/>
                <w:left w:val="none" w:sz="0" w:space="0" w:color="auto"/>
                <w:bottom w:val="none" w:sz="0" w:space="0" w:color="auto"/>
                <w:right w:val="none" w:sz="0" w:space="0" w:color="auto"/>
              </w:divBdr>
              <w:divsChild>
                <w:div w:id="22225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249814">
          <w:marLeft w:val="0"/>
          <w:marRight w:val="0"/>
          <w:marTop w:val="0"/>
          <w:marBottom w:val="0"/>
          <w:divBdr>
            <w:top w:val="none" w:sz="0" w:space="0" w:color="auto"/>
            <w:left w:val="none" w:sz="0" w:space="0" w:color="auto"/>
            <w:bottom w:val="none" w:sz="0" w:space="0" w:color="auto"/>
            <w:right w:val="none" w:sz="0" w:space="0" w:color="auto"/>
          </w:divBdr>
          <w:divsChild>
            <w:div w:id="1922445301">
              <w:marLeft w:val="0"/>
              <w:marRight w:val="0"/>
              <w:marTop w:val="0"/>
              <w:marBottom w:val="0"/>
              <w:divBdr>
                <w:top w:val="none" w:sz="0" w:space="0" w:color="auto"/>
                <w:left w:val="none" w:sz="0" w:space="0" w:color="auto"/>
                <w:bottom w:val="none" w:sz="0" w:space="0" w:color="auto"/>
                <w:right w:val="none" w:sz="0" w:space="0" w:color="auto"/>
              </w:divBdr>
              <w:divsChild>
                <w:div w:id="1484077783">
                  <w:marLeft w:val="0"/>
                  <w:marRight w:val="0"/>
                  <w:marTop w:val="0"/>
                  <w:marBottom w:val="0"/>
                  <w:divBdr>
                    <w:top w:val="none" w:sz="0" w:space="0" w:color="auto"/>
                    <w:left w:val="none" w:sz="0" w:space="0" w:color="auto"/>
                    <w:bottom w:val="none" w:sz="0" w:space="0" w:color="auto"/>
                    <w:right w:val="none" w:sz="0" w:space="0" w:color="auto"/>
                  </w:divBdr>
                </w:div>
              </w:divsChild>
            </w:div>
            <w:div w:id="1133253274">
              <w:marLeft w:val="0"/>
              <w:marRight w:val="0"/>
              <w:marTop w:val="0"/>
              <w:marBottom w:val="0"/>
              <w:divBdr>
                <w:top w:val="none" w:sz="0" w:space="0" w:color="auto"/>
                <w:left w:val="none" w:sz="0" w:space="0" w:color="auto"/>
                <w:bottom w:val="none" w:sz="0" w:space="0" w:color="auto"/>
                <w:right w:val="none" w:sz="0" w:space="0" w:color="auto"/>
              </w:divBdr>
              <w:divsChild>
                <w:div w:id="159096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494226">
          <w:marLeft w:val="0"/>
          <w:marRight w:val="0"/>
          <w:marTop w:val="0"/>
          <w:marBottom w:val="0"/>
          <w:divBdr>
            <w:top w:val="none" w:sz="0" w:space="0" w:color="auto"/>
            <w:left w:val="none" w:sz="0" w:space="0" w:color="auto"/>
            <w:bottom w:val="none" w:sz="0" w:space="0" w:color="auto"/>
            <w:right w:val="none" w:sz="0" w:space="0" w:color="auto"/>
          </w:divBdr>
          <w:divsChild>
            <w:div w:id="162864998">
              <w:marLeft w:val="0"/>
              <w:marRight w:val="0"/>
              <w:marTop w:val="0"/>
              <w:marBottom w:val="0"/>
              <w:divBdr>
                <w:top w:val="none" w:sz="0" w:space="0" w:color="auto"/>
                <w:left w:val="none" w:sz="0" w:space="0" w:color="auto"/>
                <w:bottom w:val="none" w:sz="0" w:space="0" w:color="auto"/>
                <w:right w:val="none" w:sz="0" w:space="0" w:color="auto"/>
              </w:divBdr>
              <w:divsChild>
                <w:div w:id="1733042654">
                  <w:marLeft w:val="0"/>
                  <w:marRight w:val="0"/>
                  <w:marTop w:val="0"/>
                  <w:marBottom w:val="0"/>
                  <w:divBdr>
                    <w:top w:val="none" w:sz="0" w:space="0" w:color="auto"/>
                    <w:left w:val="none" w:sz="0" w:space="0" w:color="auto"/>
                    <w:bottom w:val="none" w:sz="0" w:space="0" w:color="auto"/>
                    <w:right w:val="none" w:sz="0" w:space="0" w:color="auto"/>
                  </w:divBdr>
                  <w:divsChild>
                    <w:div w:id="557739846">
                      <w:marLeft w:val="0"/>
                      <w:marRight w:val="0"/>
                      <w:marTop w:val="0"/>
                      <w:marBottom w:val="0"/>
                      <w:divBdr>
                        <w:top w:val="none" w:sz="0" w:space="0" w:color="auto"/>
                        <w:left w:val="none" w:sz="0" w:space="0" w:color="auto"/>
                        <w:bottom w:val="none" w:sz="0" w:space="0" w:color="auto"/>
                        <w:right w:val="none" w:sz="0" w:space="0" w:color="auto"/>
                      </w:divBdr>
                    </w:div>
                  </w:divsChild>
                </w:div>
                <w:div w:id="1677927683">
                  <w:marLeft w:val="0"/>
                  <w:marRight w:val="0"/>
                  <w:marTop w:val="0"/>
                  <w:marBottom w:val="0"/>
                  <w:divBdr>
                    <w:top w:val="none" w:sz="0" w:space="0" w:color="auto"/>
                    <w:left w:val="none" w:sz="0" w:space="0" w:color="auto"/>
                    <w:bottom w:val="none" w:sz="0" w:space="0" w:color="auto"/>
                    <w:right w:val="none" w:sz="0" w:space="0" w:color="auto"/>
                  </w:divBdr>
                  <w:divsChild>
                    <w:div w:id="131406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447956">
      <w:bodyDiv w:val="1"/>
      <w:marLeft w:val="0"/>
      <w:marRight w:val="0"/>
      <w:marTop w:val="0"/>
      <w:marBottom w:val="0"/>
      <w:divBdr>
        <w:top w:val="none" w:sz="0" w:space="0" w:color="auto"/>
        <w:left w:val="none" w:sz="0" w:space="0" w:color="auto"/>
        <w:bottom w:val="none" w:sz="0" w:space="0" w:color="auto"/>
        <w:right w:val="none" w:sz="0" w:space="0" w:color="auto"/>
      </w:divBdr>
    </w:div>
    <w:div w:id="1566988746">
      <w:bodyDiv w:val="1"/>
      <w:marLeft w:val="0"/>
      <w:marRight w:val="0"/>
      <w:marTop w:val="0"/>
      <w:marBottom w:val="0"/>
      <w:divBdr>
        <w:top w:val="none" w:sz="0" w:space="0" w:color="auto"/>
        <w:left w:val="none" w:sz="0" w:space="0" w:color="auto"/>
        <w:bottom w:val="none" w:sz="0" w:space="0" w:color="auto"/>
        <w:right w:val="none" w:sz="0" w:space="0" w:color="auto"/>
      </w:divBdr>
      <w:divsChild>
        <w:div w:id="721710674">
          <w:marLeft w:val="0"/>
          <w:marRight w:val="0"/>
          <w:marTop w:val="0"/>
          <w:marBottom w:val="0"/>
          <w:divBdr>
            <w:top w:val="none" w:sz="0" w:space="0" w:color="auto"/>
            <w:left w:val="none" w:sz="0" w:space="0" w:color="auto"/>
            <w:bottom w:val="none" w:sz="0" w:space="0" w:color="auto"/>
            <w:right w:val="none" w:sz="0" w:space="0" w:color="auto"/>
          </w:divBdr>
          <w:divsChild>
            <w:div w:id="195773082">
              <w:marLeft w:val="0"/>
              <w:marRight w:val="0"/>
              <w:marTop w:val="0"/>
              <w:marBottom w:val="0"/>
              <w:divBdr>
                <w:top w:val="none" w:sz="0" w:space="0" w:color="auto"/>
                <w:left w:val="none" w:sz="0" w:space="0" w:color="auto"/>
                <w:bottom w:val="none" w:sz="0" w:space="0" w:color="auto"/>
                <w:right w:val="none" w:sz="0" w:space="0" w:color="auto"/>
              </w:divBdr>
              <w:divsChild>
                <w:div w:id="208629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008813">
      <w:bodyDiv w:val="1"/>
      <w:marLeft w:val="0"/>
      <w:marRight w:val="0"/>
      <w:marTop w:val="0"/>
      <w:marBottom w:val="0"/>
      <w:divBdr>
        <w:top w:val="none" w:sz="0" w:space="0" w:color="auto"/>
        <w:left w:val="none" w:sz="0" w:space="0" w:color="auto"/>
        <w:bottom w:val="none" w:sz="0" w:space="0" w:color="auto"/>
        <w:right w:val="none" w:sz="0" w:space="0" w:color="auto"/>
      </w:divBdr>
    </w:div>
    <w:div w:id="1763986900">
      <w:bodyDiv w:val="1"/>
      <w:marLeft w:val="0"/>
      <w:marRight w:val="0"/>
      <w:marTop w:val="0"/>
      <w:marBottom w:val="0"/>
      <w:divBdr>
        <w:top w:val="none" w:sz="0" w:space="0" w:color="auto"/>
        <w:left w:val="none" w:sz="0" w:space="0" w:color="auto"/>
        <w:bottom w:val="none" w:sz="0" w:space="0" w:color="auto"/>
        <w:right w:val="none" w:sz="0" w:space="0" w:color="auto"/>
      </w:divBdr>
      <w:divsChild>
        <w:div w:id="381179767">
          <w:marLeft w:val="480"/>
          <w:marRight w:val="0"/>
          <w:marTop w:val="0"/>
          <w:marBottom w:val="0"/>
          <w:divBdr>
            <w:top w:val="none" w:sz="0" w:space="0" w:color="auto"/>
            <w:left w:val="none" w:sz="0" w:space="0" w:color="auto"/>
            <w:bottom w:val="none" w:sz="0" w:space="0" w:color="auto"/>
            <w:right w:val="none" w:sz="0" w:space="0" w:color="auto"/>
          </w:divBdr>
        </w:div>
        <w:div w:id="570232572">
          <w:marLeft w:val="480"/>
          <w:marRight w:val="0"/>
          <w:marTop w:val="0"/>
          <w:marBottom w:val="0"/>
          <w:divBdr>
            <w:top w:val="none" w:sz="0" w:space="0" w:color="auto"/>
            <w:left w:val="none" w:sz="0" w:space="0" w:color="auto"/>
            <w:bottom w:val="none" w:sz="0" w:space="0" w:color="auto"/>
            <w:right w:val="none" w:sz="0" w:space="0" w:color="auto"/>
          </w:divBdr>
        </w:div>
        <w:div w:id="1918247343">
          <w:marLeft w:val="480"/>
          <w:marRight w:val="0"/>
          <w:marTop w:val="0"/>
          <w:marBottom w:val="0"/>
          <w:divBdr>
            <w:top w:val="none" w:sz="0" w:space="0" w:color="auto"/>
            <w:left w:val="none" w:sz="0" w:space="0" w:color="auto"/>
            <w:bottom w:val="none" w:sz="0" w:space="0" w:color="auto"/>
            <w:right w:val="none" w:sz="0" w:space="0" w:color="auto"/>
          </w:divBdr>
        </w:div>
        <w:div w:id="1534877584">
          <w:marLeft w:val="480"/>
          <w:marRight w:val="0"/>
          <w:marTop w:val="0"/>
          <w:marBottom w:val="0"/>
          <w:divBdr>
            <w:top w:val="none" w:sz="0" w:space="0" w:color="auto"/>
            <w:left w:val="none" w:sz="0" w:space="0" w:color="auto"/>
            <w:bottom w:val="none" w:sz="0" w:space="0" w:color="auto"/>
            <w:right w:val="none" w:sz="0" w:space="0" w:color="auto"/>
          </w:divBdr>
        </w:div>
        <w:div w:id="999424309">
          <w:marLeft w:val="480"/>
          <w:marRight w:val="0"/>
          <w:marTop w:val="0"/>
          <w:marBottom w:val="0"/>
          <w:divBdr>
            <w:top w:val="none" w:sz="0" w:space="0" w:color="auto"/>
            <w:left w:val="none" w:sz="0" w:space="0" w:color="auto"/>
            <w:bottom w:val="none" w:sz="0" w:space="0" w:color="auto"/>
            <w:right w:val="none" w:sz="0" w:space="0" w:color="auto"/>
          </w:divBdr>
        </w:div>
        <w:div w:id="1571578169">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erluigi.morano@poliba.it"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4CD619B4-D21B-9840-9D75-751479357FDB}"/>
      </w:docPartPr>
      <w:docPartBody>
        <w:p w:rsidR="006C1B34" w:rsidRDefault="00485AB3">
          <w:r w:rsidRPr="007008F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tamaran">
    <w:panose1 w:val="00000000000000000000"/>
    <w:charset w:val="4D"/>
    <w:family w:val="auto"/>
    <w:pitch w:val="variable"/>
    <w:sig w:usb0="801000AF" w:usb1="5000204B" w:usb2="00000000" w:usb3="00000000" w:csb0="00000093"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Bodoni MT">
    <w:panose1 w:val="02070603080606020203"/>
    <w:charset w:val="4D"/>
    <w:family w:val="roman"/>
    <w:pitch w:val="variable"/>
    <w:sig w:usb0="00000003" w:usb1="00000000" w:usb2="00000000" w:usb3="00000000" w:csb0="00000001" w:csb1="00000000"/>
  </w:font>
  <w:font w:name="Montserrat">
    <w:panose1 w:val="00000500000000000000"/>
    <w:charset w:val="4D"/>
    <w:family w:val="auto"/>
    <w:pitch w:val="variable"/>
    <w:sig w:usb0="A00002FF" w:usb1="4000207B" w:usb2="00000000" w:usb3="00000000" w:csb0="00000197" w:csb1="00000000"/>
  </w:font>
  <w:font w:name="Hind Siliguri">
    <w:panose1 w:val="02000000000000000000"/>
    <w:charset w:val="4D"/>
    <w:family w:val="auto"/>
    <w:pitch w:val="variable"/>
    <w:sig w:usb0="00010007" w:usb1="00000000" w:usb2="00000000" w:usb3="00000000" w:csb0="00000093" w:csb1="00000000"/>
  </w:font>
  <w:font w:name="Oxygen">
    <w:panose1 w:val="02000503000000000000"/>
    <w:charset w:val="4D"/>
    <w:family w:val="auto"/>
    <w:pitch w:val="variable"/>
    <w:sig w:usb0="A00000EF" w:usb1="4000204B" w:usb2="00000000" w:usb3="00000000" w:csb0="00000093" w:csb1="00000000"/>
  </w:font>
  <w:font w:name="Oxygen Light">
    <w:panose1 w:val="02000303000000000000"/>
    <w:charset w:val="00"/>
    <w:family w:val="auto"/>
    <w:pitch w:val="variable"/>
    <w:sig w:usb0="8000006F" w:usb1="40002049" w:usb2="00000000" w:usb3="00000000" w:csb0="00000001" w:csb1="00000000"/>
  </w:font>
  <w:font w:name="Karma">
    <w:panose1 w:val="02000000000000000000"/>
    <w:charset w:val="4D"/>
    <w:family w:val="auto"/>
    <w:pitch w:val="variable"/>
    <w:sig w:usb0="00008003" w:usb1="00000000" w:usb2="00000000" w:usb3="00000000" w:csb0="00000093" w:csb1="00000000"/>
  </w:font>
  <w:font w:name="Cambria Math">
    <w:panose1 w:val="02040503050406030204"/>
    <w:charset w:val="00"/>
    <w:family w:val="roman"/>
    <w:pitch w:val="variable"/>
    <w:sig w:usb0="E00002FF" w:usb1="420024FF" w:usb2="00000000" w:usb3="00000000" w:csb0="0000019F" w:csb1="00000000"/>
  </w:font>
  <w:font w:name="Montserrat Medium">
    <w:panose1 w:val="00000600000000000000"/>
    <w:charset w:val="4D"/>
    <w:family w:val="auto"/>
    <w:pitch w:val="variable"/>
    <w:sig w:usb0="A00002FF" w:usb1="4000207B" w:usb2="00000000" w:usb3="00000000" w:csb0="00000197"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AB3"/>
    <w:rsid w:val="00485AB3"/>
    <w:rsid w:val="006B1CEA"/>
    <w:rsid w:val="006C1B34"/>
    <w:rsid w:val="00824919"/>
    <w:rsid w:val="008E029B"/>
  </w:rsids>
  <m:mathPr>
    <m:mathFont m:val="Cambria Math"/>
    <m:brkBin m:val="before"/>
    <m:brkBinSub m:val="--"/>
    <m:smallFrac m:val="0"/>
    <m:dispDef/>
    <m:lMargin m:val="0"/>
    <m:rMargin m:val="0"/>
    <m:defJc m:val="centerGroup"/>
    <m:wrapIndent m:val="1440"/>
    <m:intLim m:val="subSup"/>
    <m:naryLim m:val="undOvr"/>
  </m:mathPr>
  <w:themeFontLang w:val="en-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IT"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5AB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13F635A-DBC9-7143-BF82-24244B0EB97F}">
  <we:reference id="f78a3046-9e99-4300-aa2b-5814002b01a2" version="1.55.1.0" store="EXCatalog" storeType="EXCatalog"/>
  <we:alternateReferences>
    <we:reference id="WA104382081" version="1.55.1.0" store="it-IT" storeType="OMEX"/>
  </we:alternateReferences>
  <we:properties>
    <we:property name="MENDELEY_CITATIONS" value="[{&quot;citationID&quot;:&quot;MENDELEY_CITATION_f594f4b8-b86b-4bdd-9ffb-ea9ba135aab2&quot;,&quot;properties&quot;:{&quot;noteIndex&quot;:0},&quot;isEdited&quot;:false,&quot;manualOverride&quot;:{&quot;isManuallyOverridden&quot;:true,&quot;citeprocText&quot;:&quot;(Barfod et al., 2011; Greco et al., 2016; Krasić, 2022; &lt;i&gt;Per l’Italia, Il 2022 è Stato l’anno Più Caldo Dal 1800 - LifeGate&lt;/i&gt;, n.d.; Sassano et al., 2017; Teotónio et al., 2023)&quot;,&quot;manualOverrideText&quot;:&quot;(Barfod et al., 2011; Greco et al., 2016; Krasić, 2022; LifeGate, 2022.; Sassano et al., 2017; Teotónio et al., 2023)&quot;},&quot;citationTag&quot;:&quot;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&quot;,&quot;citationItems&quot;:[{&quot;id&quot;:&quot;98c0136b-32e9-3a71-82ec-aeba28e82e5b&quot;,&quot;itemData&quot;:{&quot;type&quot;:&quot;article-journal&quot;,&quot;id&quot;:&quot;98c0136b-32e9-3a71-82ec-aeba28e82e5b&quot;,&quot;title&quot;:&quot;Evaluation of urban transport projects with respect to sustainable mobility&quot;,&quot;author&quot;:[{&quot;family&quot;:&quot;Krasić&quot;,&quot;given&quot;:&quot;Davor&quot;,&quot;parse-names&quot;:false,&quot;dropping-particle&quot;:&quot;&quot;,&quot;non-dropping-particle&quot;:&quot;&quot;}],&quot;container-title&quot;:&quot;Road and Rail Infrastructure VII&quot;,&quot;accessed&quot;:{&quot;date-parts&quot;:[[2023,11,28]]},&quot;DOI&quot;:&quot;10.5592/CO/CETRA.2022.1367&quot;,&quot;issued&quot;:{&quot;date-parts&quot;:[[2022,5,11]]},&quot;page&quot;:&quot;643-650&quot;,&quot;abstract&quot;:&quot;In the middle and in the second half of the last century, the development of transport infrastructure in cities was approached in a purely functional way in planning practice. The functional approach was based on meeting the growing traffic demand, primarily individual road traffic, which resulted in huge investments in the city's road infrastructure. The short - term view of the future and the fascination of planners with individual road traffic relatively quickly proved to be a failure of planning theory and practice. Many urban areas have become unacceptable for the quality of life of residents due to harmful products of individual road traffic, such as noise, air pollution, traffic accidents and disrupting the landscape aesthetics of the urban area. Bad experiences with such an approach have resulted in a turnaround that took place at the end of the century and, in particular, at the beginning of this century at least when it comes to cities within the European Union. This shift means abandoning a purely functional approach to transport planning and turning to balanced development based on the principles of sustainable mobility. This paper provides recommendations on how to evaluate transport projects that respect the principle of sustainable mobility, i.e. sustainable urban development.&quot;,&quot;publisher&quot;:&quot;University of Zagreb Faculty of Civil Engineering&quot;,&quot;volume&quot;:&quot;7&quot;,&quot;container-title-short&quot;:&quot;&quot;},&quot;isTemporary&quot;:false},{&quot;id&quot;:&quot;21778557-e8d6-3d0c-8b83-1fc90e97b9e3&quot;,&quot;itemData&quot;:{&quot;type&quot;:&quot;article-journal&quot;,&quot;id&quot;:&quot;21778557-e8d6-3d0c-8b83-1fc90e97b9e3&quot;,&quot;title&quot;:&quot;Bridging CBA and MCA for evaluating green infrastructure: Proposal of a new evaluation model (MAGICA)&quot;,&quot;author&quot;:[{&quot;family&quot;:&quot;Teotónio&quot;,&quot;given&quot;:&quot;Inês&quot;,&quot;parse-names&quot;:false,&quot;dropping-particle&quot;:&quot;&quot;,&quot;non-dropping-particle&quot;:&quot;&quot;},{&quot;family&quot;:&quot;Oliveira Cruz&quot;,&quot;given&quot;:&quot;Carlos&quot;,&quot;parse-names&quot;:false,&quot;dropping-particle&quot;:&quot;&quot;,&quot;non-dropping-particle&quot;:&quot;&quot;},{&quot;family&quot;:&quot;Matos Silva&quot;,&quot;given&quot;:&quot;Cristina&quot;,&quot;parse-names&quot;:false,&quot;dropping-particle&quot;:&quot;&quot;,&quot;non-dropping-particle&quot;:&quot;&quot;},{&quot;family&quot;:&quot;Lopes&quot;,&quot;given&quot;:&quot;Rodrigo Ferreira Reis&quot;,&quot;parse-names&quot;:false,&quot;dropping-particle&quot;:&quot;&quot;,&quot;non-dropping-particle&quot;:&quot;&quot;}],&quot;container-title&quot;:&quot;Socio-Economic Planning Sciences&quot;,&quot;container-title-short&quot;:&quot;Socioecon Plann Sci&quot;,&quot;accessed&quot;:{&quot;date-parts&quot;:[[2023,11,28]]},&quot;DOI&quot;:&quot;10.1016/J.SEPS.2022.101446&quot;,&quot;ISSN&quot;:&quot;0038-0121&quot;,&quot;issued&quot;:{&quot;date-parts&quot;:[[2023,2,1]]},&quot;page&quot;:&quot;101446&quot;,&quot;abstract&quot;:&quot;The evaluation of green roofs and walls has been overlooking their real contribution to the built environment. This limits the application and development of these solutions, that have the potential to improve biodiversity, resilience, and carbon footprint of cities. In addition to the difficulty in measuring some ecosystem services, conventional cost-benefit analyses have proven to be inefficient as they cannot deal with non-monetized benefits. To overcome this gap, this study develops a comprehensive decision-making tool for assessing the value of green roofs and walls. The proposed methodology combines two well-known approaches - cost-benefit analysis (CBA) and multi-criteria analysis (MCA) - giving preference to the economic rationale for project investment optimization. This new model – MAGICA (Modelling the Attractiveness of Green Infrastructure through a Combined Approach) – addresses differently monetary and non-monetary benefits for a more robust and complete consideration of all financial, economic, socio-environmental impacts of green infrastructure as well as the preferences of the investors and users. The methodology covers different scales of implementation, including new and existing built assets, and it can be easily adapted to other nature-based solutions. Despite determining an economic indicator, the model is best suited for making relative comparisons between different solutions and identifying which is most appropriate for a particular project context. A case study is applied to demonstrate the methodology, assessing 16 green roof systems for installation in a university building in Lisbon, Portugal. The analysis is based on the results of an experimental campaign and field surveys of students, professors, and staff.&quot;,&quot;publisher&quot;:&quot;Pergamon&quot;,&quot;volume&quot;:&quot;85&quot;},&quot;isTemporary&quot;:false},{&quot;id&quot;:&quot;0f3cb7ce-997a-325d-8b75-7712e942ac8d&quot;,&quot;itemData&quot;:{&quot;type&quot;:&quot;article-journal&quot;,&quot;id&quot;:&quot;0f3cb7ce-997a-325d-8b75-7712e942ac8d&quot;,&quot;title&quot;:&quot;Examination of Decision Support Systems for Composite CBA and MCDA Assessments of Transport Infrastructure Projects&quot;,&quot;author&quot;:[{&quot;family&quot;:&quot;Barfod&quot;,&quot;given&quot;:&quot;Michael Bruhn&quot;,&quot;parse-names&quot;:false,&quot;dropping-particle&quot;:&quot;&quot;,&quot;non-dropping-particle&quot;:&quot;&quot;},{&quot;family&quot;:&quot;Jensen&quot;,&quot;given&quot;:&quot;Anders Vestergaard&quot;,&quot;parse-names&quot;:false,&quot;dropping-particle&quot;:&quot;&quot;,&quot;non-dropping-particle&quot;:&quot;&quot;},{&quot;family&quot;:&quot;Leleur&quot;,&quot;given&quot;:&quot;Steen&quot;,&quot;parse-names&quot;:false,&quot;dropping-particle&quot;:&quot;&quot;,&quot;non-dropping-particle&quot;:&quot;&quot;},{&quot;family&quot;:&quot;Barfod&quot;,&quot;given&quot;:&quot;Michael Bruhn&quot;,&quot;parse-names&quot;:false,&quot;dropping-particle&quot;:&quot;&quot;,&quot;non-dropping-particle&quot;:&quot;&quot;},{&quot;family&quot;:&quot;Jensen&quot;,&quot;given&quot;:&quot;Anders Vestergaard&quot;,&quot;parse-names&quot;:false,&quot;dropping-particle&quot;:&quot;&quot;,&quot;non-dropping-particle&quot;:&quot;&quot;},{&quot;family&quot;:&quot;Leleur&quot;,&quot;given&quot;:&quot;Steen&quot;,&quot;parse-names&quot;:false,&quot;dropping-particle&quot;:&quot;&quot;,&quot;non-dropping-particle&quot;:&quot;&quot;}],&quot;container-title&quot;:&quot;Lecture Notes in Economics and Mathematical Systems&quot;,&quot;accessed&quot;:{&quot;date-parts&quot;:[[2023,11,28]]},&quot;DOI&quot;:&quot;10.1007/978-3-642-19695-9_14&quot;,&quot;ISBN&quot;:&quot;9783642196942&quot;,&quot;ISSN&quot;:&quot;00758442&quot;,&quot;URL&quot;:&quot;https://EconPapers.repec.org/RePEc:spr:lnechp:978-3-642-19695-9_14&quot;,&quot;issued&quot;:{&quot;date-parts&quot;:[[2011]]},&quot;page&quot;:&quot;167-176&quot;,&quot;abstract&quot;:&quot;Abstract This paper examines decision support systems (DSS) for composite appraisals of transport infrastructure projects comprising both cost-benefit analysis (CBA) and multi-criteria decision analysis (MCDA). Two DSS, REMBRANDT and COSIMA, are in this context examined and compared using a case study dealing with alternatives for a new high-speed railway line in Sweden. The REMBRANDT system is based on multiplicative value functions and makes use of pair wise comparisons on both attribute and criteria level. The COSIMA system is based on additive value functions and makes use of the REMBRANDT technique using pair wise comparisons on attribute level and swing weights on criteria level. One difference between the two approaches is the focus the COSIMA system puts on combining the CBA and MCDA results influencing, among other things, the way that the final results are expressed. Finally, a recommendation for the use of DSS within transport infrastructure appraisals is set out.&quot;,&quot;publisher&quot;:&quot;Springer&quot;,&quot;volume&quot;:&quot;648&quot;,&quot;container-title-short&quot;:&quot;&quot;},&quot;isTemporary&quot;:false},{&quot;id&quot;:&quot;1da87b60-a7b6-3610-bd10-7b14ebcb752f&quot;,&quot;itemData&quot;:{&quot;type&quot;:&quot;article-journal&quot;,&quot;id&quot;:&quot;1da87b60-a7b6-3610-bd10-7b14ebcb752f&quot;,&quot;title&quot;:&quot;Involving citizens in the reuse and regeneration of urban peripheral spaces&quot;,&quot;author&quot;:[{&quot;family&quot;:&quot;Sassano&quot;,&quot;given&quot;:&quot;Gerardo&quot;,&quot;parse-names&quot;:false,&quot;dropping-particle&quot;:&quot;&quot;,&quot;non-dropping-particle&quot;:&quot;&quot;},{&quot;family&quot;:&quot;Graziadei&quot;,&quot;given&quot;:&quot;Antonio&quot;,&quot;parse-names&quot;:false,&quot;dropping-particle&quot;:&quot;&quot;,&quot;non-dropping-particle&quot;:&quot;&quot;},{&quot;family&quot;:&quot;Amato&quot;,&quot;given&quot;:&quot;Federico&quot;,&quot;parse-names&quot;:false,&quot;dropping-particle&quot;:&quot;&quot;,&quot;non-dropping-particle&quot;:&quot;&quot;},{&quot;family&quot;:&quot;Murgante&quot;,&quot;given&quot;:&quot;Beniamino&quot;,&quot;parse-names&quot;:false,&quot;dropping-particle&quot;:&quot;&quot;,&quot;non-dropping-particle&quot;:&quot;&quot;}],&quot;container-title&quot;:&quot;Urban Book Series&quot;,&quot;accessed&quot;:{&quot;date-parts&quot;:[[2023,5,16]]},&quot;DOI&quot;:&quot;10.1007/978-3-319-43979-2_10&quot;,&quot;ISSN&quot;:&quot;23657588&quot;,&quot;issued&quot;:{&quot;date-parts&quot;:[[2017]]},&quot;page&quot;:&quot;193-206&quot;,&quot;abstract&quot;:&quot;The issue of suburb regeneration is highly relevant today. Current urban planning approaches are mainly focused on large and permanent transformations. These solutions often do not take into account the great dynamism and rapid transformations of cities, making any intervention, in most cases, outdated even before its realisation. Nevertheless, these expensive interventions implemented by local government frequently tend to fail the regeneration of these public spaces. This chapter presents the experience of ‘Serpentone reload’, a workshop based on participatory reactivation of abandoned and underused spaces and buildings in the ‘Cocuzzo/Serpentone’ neighbourhood of Potenza in Basilicata, Italy. The workshop focussed particularly on the reuse of the ‘Ship’, an underground building completed in 2010 but never used because, since then, it has been perceived as an extraneous element, being the result of an imposition and not the outcome of shared choices. The aim of this chapter is to propose a methodology that will allow the reactivation of public spaces, the empowerment of communities and the increase in citizens’ interest in planning choices, pointing therefore alternative ways for urban governance and for local government urban policies. The results show that the involvement of people in urban planning and in Placemaking activities raises the level of social cohesion, generating both social benefits and quality of public spaces.&quot;,&quot;publisher&quot;:&quot;Springer&quot;,&quot;container-title-short&quot;:&quot;&quot;},&quot;isTemporary&quot;:false},{&quot;id&quot;:&quot;85d055f4-ea38-3b33-9b0b-bdd1b5cfff86&quot;,&quot;itemData&quot;:{&quot;type&quot;:&quot;book&quot;,&quot;id&quot;:&quot;85d055f4-ea38-3b33-9b0b-bdd1b5cfff86&quot;,&quot;title&quot;:&quot;Multiple Criteria Decision Analysis&quot;,&quot;author&quot;:[{&quot;family&quot;:&quot;Greco&quot;,&quot;given&quot;:&quot;Salvatore&quot;,&quot;parse-names&quot;:false,&quot;dropping-particle&quot;:&quot;&quot;,&quot;non-dropping-particle&quot;:&quot;&quot;},{&quot;family&quot;:&quot;Ehrgott&quot;,&quot;given&quot;:&quot;Matthias&quot;,&quot;parse-names&quot;:false,&quot;dropping-particle&quot;:&quot;&quot;,&quot;non-dropping-particle&quot;:&quot;&quot;},{&quot;family&quot;:&quot;Figueira&quot;,&quot;given&quot;:&quot;José Rui&quot;,&quot;parse-names&quot;:false,&quot;dropping-particle&quot;:&quot;&quot;,&quot;non-dropping-particle&quot;:&quot;&quot;}],&quot;collection-title&quot;:&quot;International Series in Operations Research &amp; Management Science&quot;,&quot;accessed&quot;:{&quot;date-parts&quot;:[[2023,11,28]]},&quot;editor&quot;:[{&quot;family&quot;:&quot;Greco&quot;,&quot;given&quot;:&quot;Salvatore&quot;,&quot;parse-names&quot;:false,&quot;dropping-particle&quot;:&quot;&quot;,&quot;non-dropping-particle&quot;:&quot;&quot;},{&quot;family&quot;:&quot;Ehrgott&quot;,&quot;given&quot;:&quot;Matthias&quot;,&quot;parse-names&quot;:false,&quot;dropping-particle&quot;:&quot;&quot;,&quot;non-dropping-particle&quot;:&quot;&quot;},{&quot;family&quot;:&quot;Figueira&quot;,&quot;given&quot;:&quot;José Rui&quot;,&quot;parse-names&quot;:false,&quot;dropping-particle&quot;:&quot;&quot;,&quot;non-dropping-particle&quot;:&quot;&quot;}],&quot;DOI&quot;:&quot;10.1007/978-1-4939-3094-4&quot;,&quot;ISBN&quot;:&quot;978-1-4939-3093-7&quot;,&quot;URL&quot;:&quot;https://link.springer.com/10.1007/978-1-4939-3094-4&quot;,&quot;issued&quot;:{&quot;date-parts&quot;:[[2016]]},&quot;publisher-place&quot;:&quot;New York, NY&quot;,&quot;publisher&quot;:&quot;Springer New York&quot;,&quot;volume&quot;:&quot;37&quot;,&quot;container-title-short&quot;:&quot;&quot;},&quot;isTemporary&quot;:false},{&quot;id&quot;:&quot;6c995b87-83ac-3740-b1c7-b5b204477dac&quot;,&quot;itemData&quot;:{&quot;type&quot;:&quot;webpage&quot;,&quot;id&quot;:&quot;6c995b87-83ac-3740-b1c7-b5b204477dac&quot;,&quot;title&quot;:&quot;Per l'Italia, il 2022 è stato l'anno più caldo dal 1800 - LifeGate&quot;,&quot;accessed&quot;:{&quot;date-parts&quot;:[[2023,11,28]]},&quot;URL&quot;:&quot;https://www.lifegate.it/italia-2022-caldo&quot;,&quot;container-title-short&quot;:&quot;&quot;},&quot;isTemporary&quot;:false}]}]"/>
    <we:property name="MENDELEY_CITATIONS_LOCALE_CODE" value="&quot;en-US&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AB9968-E2AB-6F40-839B-A470DD137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2132</Words>
  <Characters>12158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Dell'Ovo</dc:creator>
  <cp:keywords/>
  <dc:description/>
  <cp:lastModifiedBy>Marta Dell'Ovo</cp:lastModifiedBy>
  <cp:revision>3</cp:revision>
  <dcterms:created xsi:type="dcterms:W3CDTF">2023-12-06T09:41:00Z</dcterms:created>
  <dcterms:modified xsi:type="dcterms:W3CDTF">2023-12-06T10:11:00Z</dcterms:modified>
</cp:coreProperties>
</file>